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29" w:rsidRPr="00123729" w:rsidRDefault="00123729" w:rsidP="00123729">
      <w:pPr>
        <w:ind w:right="-5"/>
        <w:jc w:val="center"/>
        <w:rPr>
          <w:rFonts w:ascii="Times New Roman" w:eastAsia="Calibri" w:hAnsi="Times New Roman" w:cs="Times New Roman"/>
          <w:b/>
        </w:rPr>
      </w:pPr>
      <w:r w:rsidRPr="00123729">
        <w:rPr>
          <w:rFonts w:ascii="Calibri" w:eastAsia="Calibri" w:hAnsi="Calibri" w:cs="Times New Roman"/>
          <w:noProof/>
          <w:lang w:eastAsia="ru-RU"/>
        </w:rPr>
        <w:drawing>
          <wp:anchor distT="0" distB="0" distL="114300" distR="114300" simplePos="0" relativeHeight="251659264" behindDoc="1" locked="0" layoutInCell="1" allowOverlap="1">
            <wp:simplePos x="0" y="0"/>
            <wp:positionH relativeFrom="column">
              <wp:posOffset>-462915</wp:posOffset>
            </wp:positionH>
            <wp:positionV relativeFrom="paragraph">
              <wp:posOffset>1905</wp:posOffset>
            </wp:positionV>
            <wp:extent cx="876300" cy="895350"/>
            <wp:effectExtent l="0" t="0" r="0" b="0"/>
            <wp:wrapNone/>
            <wp:docPr id="3" name="Рисунок 2"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95350"/>
                    </a:xfrm>
                    <a:prstGeom prst="rect">
                      <a:avLst/>
                    </a:prstGeom>
                    <a:noFill/>
                  </pic:spPr>
                </pic:pic>
              </a:graphicData>
            </a:graphic>
          </wp:anchor>
        </w:drawing>
      </w:r>
    </w:p>
    <w:p w:rsidR="00123729" w:rsidRPr="00123729" w:rsidRDefault="00123729" w:rsidP="00123729">
      <w:pPr>
        <w:ind w:right="-5"/>
        <w:jc w:val="center"/>
        <w:rPr>
          <w:rFonts w:ascii="Times New Roman" w:eastAsia="Calibri" w:hAnsi="Times New Roman" w:cs="Times New Roman"/>
          <w:b/>
        </w:rPr>
      </w:pPr>
    </w:p>
    <w:p w:rsidR="00123729" w:rsidRPr="00123729" w:rsidRDefault="00123729" w:rsidP="00123729">
      <w:pPr>
        <w:ind w:right="-5"/>
        <w:jc w:val="center"/>
        <w:rPr>
          <w:rFonts w:ascii="Times New Roman" w:eastAsia="Times New Roman" w:hAnsi="Times New Roman" w:cs="Times New Roman"/>
          <w:b/>
          <w:sz w:val="24"/>
          <w:szCs w:val="24"/>
          <w:lang w:eastAsia="ru-RU"/>
        </w:rPr>
      </w:pPr>
      <w:r w:rsidRPr="00123729">
        <w:rPr>
          <w:rFonts w:ascii="Times New Roman" w:eastAsia="Times New Roman" w:hAnsi="Times New Roman" w:cs="Times New Roman"/>
          <w:b/>
          <w:sz w:val="24"/>
          <w:szCs w:val="24"/>
          <w:lang w:eastAsia="ru-RU"/>
        </w:rPr>
        <w:t>ПЕНСИОННЫЙ ФОНД РОССИЙСКОЙ  ФЕДЕРАЦИИ</w:t>
      </w:r>
    </w:p>
    <w:tbl>
      <w:tblPr>
        <w:tblW w:w="946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23729" w:rsidRPr="00123729" w:rsidTr="00123729">
        <w:trPr>
          <w:trHeight w:val="819"/>
        </w:trPr>
        <w:tc>
          <w:tcPr>
            <w:tcW w:w="9468" w:type="dxa"/>
            <w:tcBorders>
              <w:top w:val="nil"/>
              <w:left w:val="nil"/>
              <w:bottom w:val="nil"/>
              <w:right w:val="nil"/>
            </w:tcBorders>
            <w:hideMark/>
          </w:tcPr>
          <w:p w:rsidR="00123729" w:rsidRPr="00123729" w:rsidRDefault="00123729" w:rsidP="00123729">
            <w:pPr>
              <w:ind w:right="-5"/>
              <w:jc w:val="center"/>
              <w:rPr>
                <w:rFonts w:ascii="Times New Roman" w:eastAsia="Times New Roman" w:hAnsi="Times New Roman" w:cs="Times New Roman"/>
                <w:b/>
                <w:i/>
                <w:sz w:val="24"/>
                <w:szCs w:val="24"/>
                <w:lang w:eastAsia="ru-RU"/>
              </w:rPr>
            </w:pPr>
            <w:r w:rsidRPr="00123729">
              <w:rPr>
                <w:rFonts w:ascii="Times New Roman" w:eastAsia="Times New Roman" w:hAnsi="Times New Roman" w:cs="Times New Roman"/>
                <w:b/>
                <w:i/>
                <w:sz w:val="24"/>
                <w:szCs w:val="24"/>
                <w:lang w:eastAsia="ru-RU"/>
              </w:rPr>
              <w:t>ГОСУДАРСТВЕННОЕ УЧРЕЖДЕНИЕ – УПРАВЛЕНИЕ ПЕНСИОННОГОФОНДА</w:t>
            </w:r>
          </w:p>
          <w:p w:rsidR="00123729" w:rsidRPr="00123729" w:rsidRDefault="00123729" w:rsidP="00123729">
            <w:pPr>
              <w:ind w:right="-5"/>
              <w:jc w:val="center"/>
              <w:rPr>
                <w:rFonts w:ascii="Times New Roman" w:eastAsia="Times New Roman" w:hAnsi="Times New Roman" w:cs="Times New Roman"/>
                <w:b/>
                <w:i/>
                <w:sz w:val="24"/>
                <w:szCs w:val="24"/>
                <w:lang w:eastAsia="ru-RU"/>
              </w:rPr>
            </w:pPr>
            <w:r w:rsidRPr="00123729">
              <w:rPr>
                <w:rFonts w:ascii="Times New Roman" w:eastAsia="Times New Roman" w:hAnsi="Times New Roman" w:cs="Times New Roman"/>
                <w:b/>
                <w:i/>
                <w:sz w:val="24"/>
                <w:szCs w:val="24"/>
                <w:lang w:eastAsia="ru-RU"/>
              </w:rPr>
              <w:t xml:space="preserve">РОССИЙСКОЙ ФЕДЕРАЦИИ В ЯГОДНИНСКОМ РАЙОНЕ </w:t>
            </w:r>
          </w:p>
          <w:p w:rsidR="00123729" w:rsidRPr="00123729" w:rsidRDefault="00123729" w:rsidP="00123729">
            <w:pPr>
              <w:ind w:right="-5"/>
              <w:jc w:val="center"/>
              <w:rPr>
                <w:rFonts w:ascii="Times New Roman" w:eastAsia="Times New Roman" w:hAnsi="Times New Roman" w:cs="Times New Roman"/>
                <w:b/>
                <w:i/>
                <w:sz w:val="24"/>
                <w:szCs w:val="24"/>
                <w:lang w:eastAsia="ru-RU"/>
              </w:rPr>
            </w:pPr>
            <w:r w:rsidRPr="00123729">
              <w:rPr>
                <w:rFonts w:ascii="Times New Roman" w:eastAsia="Times New Roman" w:hAnsi="Times New Roman" w:cs="Times New Roman"/>
                <w:b/>
                <w:i/>
                <w:sz w:val="24"/>
                <w:szCs w:val="24"/>
                <w:lang w:eastAsia="ru-RU"/>
              </w:rPr>
              <w:t>МАГАДАНСКОЙ ОБЛАСТИ</w:t>
            </w:r>
          </w:p>
          <w:p w:rsidR="00123729" w:rsidRPr="00123729" w:rsidRDefault="00123729" w:rsidP="00123729">
            <w:pPr>
              <w:ind w:right="-5"/>
              <w:jc w:val="center"/>
              <w:rPr>
                <w:rFonts w:ascii="Times New Roman" w:eastAsia="Times New Roman" w:hAnsi="Times New Roman" w:cs="Times New Roman"/>
                <w:sz w:val="24"/>
                <w:szCs w:val="24"/>
                <w:lang w:eastAsia="ru-RU"/>
              </w:rPr>
            </w:pPr>
            <w:r w:rsidRPr="00123729">
              <w:rPr>
                <w:rFonts w:ascii="Times New Roman" w:eastAsia="Times New Roman" w:hAnsi="Times New Roman" w:cs="Times New Roman"/>
                <w:sz w:val="24"/>
                <w:szCs w:val="24"/>
                <w:lang w:eastAsia="ru-RU"/>
              </w:rPr>
              <w:t>________________________________________________________________</w:t>
            </w:r>
          </w:p>
        </w:tc>
      </w:tr>
    </w:tbl>
    <w:p w:rsidR="002C4C77" w:rsidRDefault="00E21AE7" w:rsidP="002C4C77">
      <w:pPr>
        <w:rPr>
          <w:rFonts w:ascii="Times New Roman" w:hAnsi="Times New Roman" w:cs="Times New Roman"/>
          <w:b/>
        </w:rPr>
      </w:pPr>
      <w:bookmarkStart w:id="0" w:name="_GoBack"/>
      <w:bookmarkEnd w:id="0"/>
      <w:r w:rsidRPr="00E21AE7">
        <w:rPr>
          <w:rFonts w:ascii="Times New Roman" w:hAnsi="Times New Roman" w:cs="Times New Roman"/>
          <w:b/>
          <w:i/>
          <w:sz w:val="24"/>
          <w:szCs w:val="24"/>
        </w:rPr>
        <w:t>3</w:t>
      </w:r>
      <w:r w:rsidR="0048506F">
        <w:rPr>
          <w:rFonts w:ascii="Times New Roman" w:hAnsi="Times New Roman" w:cs="Times New Roman"/>
          <w:b/>
          <w:i/>
          <w:sz w:val="24"/>
          <w:szCs w:val="24"/>
        </w:rPr>
        <w:t>1</w:t>
      </w:r>
      <w:r w:rsidRPr="00E21AE7">
        <w:rPr>
          <w:rFonts w:ascii="Times New Roman" w:hAnsi="Times New Roman" w:cs="Times New Roman"/>
          <w:b/>
          <w:i/>
          <w:sz w:val="24"/>
          <w:szCs w:val="24"/>
        </w:rPr>
        <w:t>.03.2017</w:t>
      </w:r>
      <w:r w:rsidR="002C4C77" w:rsidRPr="006A3F92">
        <w:rPr>
          <w:rFonts w:ascii="Times New Roman" w:hAnsi="Times New Roman" w:cs="Times New Roman"/>
          <w:b/>
        </w:rPr>
        <w:t>ПРЕСС-РЕЛИЗ</w:t>
      </w:r>
    </w:p>
    <w:p w:rsidR="00E21AE7" w:rsidRPr="00E21AE7" w:rsidRDefault="00E21AE7" w:rsidP="00E21AE7">
      <w:pPr>
        <w:rPr>
          <w:rFonts w:ascii="Times New Roman" w:hAnsi="Times New Roman" w:cs="Times New Roman"/>
          <w:b/>
          <w:sz w:val="24"/>
          <w:szCs w:val="24"/>
        </w:rPr>
      </w:pPr>
    </w:p>
    <w:p w:rsidR="0048506F" w:rsidRPr="0048506F" w:rsidRDefault="0048506F" w:rsidP="0048506F">
      <w:pPr>
        <w:autoSpaceDE w:val="0"/>
        <w:autoSpaceDN w:val="0"/>
        <w:adjustRightInd w:val="0"/>
        <w:jc w:val="center"/>
        <w:rPr>
          <w:rFonts w:ascii="Times New Roman" w:eastAsia="Calibri" w:hAnsi="Times New Roman" w:cs="Times New Roman"/>
          <w:b/>
          <w:sz w:val="24"/>
          <w:szCs w:val="24"/>
        </w:rPr>
      </w:pPr>
      <w:r w:rsidRPr="0048506F">
        <w:rPr>
          <w:rFonts w:ascii="Times New Roman" w:eastAsia="Calibri" w:hAnsi="Times New Roman" w:cs="Times New Roman"/>
          <w:b/>
          <w:sz w:val="24"/>
          <w:szCs w:val="24"/>
        </w:rPr>
        <w:t>ПФР подвел итоги переходной кампании 2016 года</w:t>
      </w:r>
    </w:p>
    <w:p w:rsidR="0048506F" w:rsidRPr="0048506F" w:rsidRDefault="006A0BDB" w:rsidP="0048506F">
      <w:pPr>
        <w:autoSpaceDE w:val="0"/>
        <w:autoSpaceDN w:val="0"/>
        <w:adjustRightInd w:val="0"/>
        <w:ind w:firstLine="567"/>
        <w:jc w:val="both"/>
        <w:rPr>
          <w:rFonts w:ascii="Times New Roman" w:eastAsia="Calibri" w:hAnsi="Times New Roman" w:cs="Times New Roman"/>
          <w:b/>
          <w:i/>
          <w:sz w:val="24"/>
          <w:szCs w:val="24"/>
        </w:rPr>
      </w:pPr>
      <w:r w:rsidRPr="006A0BDB">
        <w:rPr>
          <w:rFonts w:ascii="Times New Roman" w:eastAsia="Calibri" w:hAnsi="Times New Roman" w:cs="Times New Roman"/>
          <w:b/>
          <w:i/>
          <w:sz w:val="24"/>
          <w:szCs w:val="24"/>
        </w:rPr>
        <w:t>Управление</w:t>
      </w:r>
      <w:r w:rsidR="0048506F" w:rsidRPr="0048506F">
        <w:rPr>
          <w:rFonts w:ascii="Times New Roman" w:hAnsi="Times New Roman" w:cs="Times New Roman"/>
          <w:b/>
          <w:i/>
          <w:sz w:val="24"/>
          <w:szCs w:val="24"/>
        </w:rPr>
        <w:t xml:space="preserve"> ПФР </w:t>
      </w:r>
      <w:r>
        <w:rPr>
          <w:rFonts w:ascii="Times New Roman" w:hAnsi="Times New Roman" w:cs="Times New Roman"/>
          <w:b/>
          <w:i/>
          <w:sz w:val="24"/>
          <w:szCs w:val="24"/>
        </w:rPr>
        <w:t>Ягоднинского района</w:t>
      </w:r>
      <w:r w:rsidR="0048506F" w:rsidRPr="0048506F">
        <w:rPr>
          <w:rFonts w:ascii="Times New Roman" w:eastAsia="Calibri" w:hAnsi="Times New Roman" w:cs="Times New Roman"/>
          <w:b/>
          <w:i/>
          <w:sz w:val="24"/>
          <w:szCs w:val="24"/>
        </w:rPr>
        <w:t>подвел</w:t>
      </w:r>
      <w:r w:rsidR="0048506F" w:rsidRPr="0048506F">
        <w:rPr>
          <w:rFonts w:ascii="Times New Roman" w:hAnsi="Times New Roman" w:cs="Times New Roman"/>
          <w:b/>
          <w:i/>
          <w:sz w:val="24"/>
          <w:szCs w:val="24"/>
        </w:rPr>
        <w:t>о</w:t>
      </w:r>
      <w:r w:rsidR="0048506F" w:rsidRPr="0048506F">
        <w:rPr>
          <w:rFonts w:ascii="Times New Roman" w:eastAsia="Calibri" w:hAnsi="Times New Roman" w:cs="Times New Roman"/>
          <w:b/>
          <w:i/>
          <w:sz w:val="24"/>
          <w:szCs w:val="24"/>
        </w:rPr>
        <w:t xml:space="preserve"> итоги переходной кампании 2016 года по переводу гражданами своих п</w:t>
      </w:r>
      <w:r w:rsidR="0048506F" w:rsidRPr="0048506F">
        <w:rPr>
          <w:rFonts w:ascii="Times New Roman" w:hAnsi="Times New Roman" w:cs="Times New Roman"/>
          <w:b/>
          <w:i/>
          <w:sz w:val="24"/>
          <w:szCs w:val="24"/>
        </w:rPr>
        <w:t>енсионных накоплений из одного П</w:t>
      </w:r>
      <w:r w:rsidR="0048506F" w:rsidRPr="0048506F">
        <w:rPr>
          <w:rFonts w:ascii="Times New Roman" w:eastAsia="Calibri" w:hAnsi="Times New Roman" w:cs="Times New Roman"/>
          <w:b/>
          <w:i/>
          <w:sz w:val="24"/>
          <w:szCs w:val="24"/>
        </w:rPr>
        <w:t xml:space="preserve">енсионного фонда в другой и в управляющие компании (УК). </w:t>
      </w:r>
    </w:p>
    <w:p w:rsidR="0048506F" w:rsidRDefault="00E13BD1" w:rsidP="0048506F">
      <w:pPr>
        <w:autoSpaceDE w:val="0"/>
        <w:autoSpaceDN w:val="0"/>
        <w:adjustRightInd w:val="0"/>
        <w:ind w:firstLine="567"/>
        <w:jc w:val="both"/>
        <w:rPr>
          <w:rFonts w:ascii="Times New Roman" w:hAnsi="Times New Roman" w:cs="Times New Roman"/>
          <w:sz w:val="24"/>
          <w:szCs w:val="24"/>
        </w:rPr>
      </w:pPr>
      <w:r>
        <w:rPr>
          <w:rFonts w:ascii="Times New Roman" w:eastAsia="Calibri" w:hAnsi="Times New Roman" w:cs="Times New Roman"/>
          <w:sz w:val="24"/>
          <w:szCs w:val="24"/>
        </w:rPr>
        <w:t>За</w:t>
      </w:r>
      <w:r w:rsidR="0048506F">
        <w:rPr>
          <w:rFonts w:ascii="Times New Roman" w:hAnsi="Times New Roman" w:cs="Times New Roman"/>
          <w:sz w:val="24"/>
          <w:szCs w:val="24"/>
        </w:rPr>
        <w:t>прошл</w:t>
      </w:r>
      <w:r>
        <w:rPr>
          <w:rFonts w:ascii="Times New Roman" w:hAnsi="Times New Roman" w:cs="Times New Roman"/>
          <w:sz w:val="24"/>
          <w:szCs w:val="24"/>
        </w:rPr>
        <w:t>ый</w:t>
      </w:r>
      <w:r>
        <w:rPr>
          <w:rFonts w:ascii="Times New Roman" w:eastAsia="Calibri" w:hAnsi="Times New Roman" w:cs="Times New Roman"/>
          <w:sz w:val="24"/>
          <w:szCs w:val="24"/>
        </w:rPr>
        <w:t xml:space="preserve"> годв управление </w:t>
      </w:r>
      <w:r w:rsidR="0048506F" w:rsidRPr="0048506F">
        <w:rPr>
          <w:rFonts w:ascii="Times New Roman" w:eastAsia="Calibri" w:hAnsi="Times New Roman" w:cs="Times New Roman"/>
          <w:sz w:val="24"/>
          <w:szCs w:val="24"/>
        </w:rPr>
        <w:t xml:space="preserve">ПФР </w:t>
      </w:r>
      <w:r>
        <w:rPr>
          <w:rFonts w:ascii="Times New Roman" w:eastAsia="Calibri" w:hAnsi="Times New Roman" w:cs="Times New Roman"/>
          <w:sz w:val="24"/>
          <w:szCs w:val="24"/>
        </w:rPr>
        <w:t xml:space="preserve">Ягоднинского района  не поступило ни одного заявления </w:t>
      </w:r>
      <w:r w:rsidR="0048506F" w:rsidRPr="0048506F">
        <w:rPr>
          <w:rFonts w:ascii="Times New Roman" w:eastAsia="Calibri" w:hAnsi="Times New Roman" w:cs="Times New Roman"/>
          <w:sz w:val="24"/>
          <w:szCs w:val="24"/>
        </w:rPr>
        <w:t xml:space="preserve">к рассмотрению о смене </w:t>
      </w:r>
      <w:r>
        <w:rPr>
          <w:rFonts w:ascii="Times New Roman" w:hAnsi="Times New Roman" w:cs="Times New Roman"/>
          <w:sz w:val="24"/>
          <w:szCs w:val="24"/>
        </w:rPr>
        <w:t>Пенсионного фонда или выборе УК.</w:t>
      </w:r>
    </w:p>
    <w:p w:rsidR="0048506F" w:rsidRPr="00E13BD1" w:rsidRDefault="0048506F" w:rsidP="0048506F">
      <w:pPr>
        <w:autoSpaceDE w:val="0"/>
        <w:autoSpaceDN w:val="0"/>
        <w:adjustRightInd w:val="0"/>
        <w:ind w:firstLine="567"/>
        <w:jc w:val="both"/>
        <w:rPr>
          <w:rFonts w:ascii="Times New Roman" w:hAnsi="Times New Roman" w:cs="Times New Roman"/>
          <w:sz w:val="24"/>
          <w:szCs w:val="24"/>
        </w:rPr>
      </w:pPr>
      <w:r w:rsidRPr="00E13BD1">
        <w:rPr>
          <w:rFonts w:ascii="Times New Roman" w:eastAsia="Calibri" w:hAnsi="Times New Roman" w:cs="Times New Roman"/>
          <w:sz w:val="24"/>
          <w:szCs w:val="24"/>
        </w:rPr>
        <w:t xml:space="preserve">При </w:t>
      </w:r>
      <w:r w:rsidR="00E13BD1" w:rsidRPr="00E13BD1">
        <w:rPr>
          <w:rFonts w:ascii="Times New Roman" w:eastAsia="Calibri" w:hAnsi="Times New Roman" w:cs="Times New Roman"/>
          <w:sz w:val="24"/>
          <w:szCs w:val="24"/>
        </w:rPr>
        <w:t xml:space="preserve">подаче такого заявления, его </w:t>
      </w:r>
      <w:r w:rsidRPr="00E13BD1">
        <w:rPr>
          <w:rFonts w:ascii="Times New Roman" w:eastAsia="Calibri" w:hAnsi="Times New Roman" w:cs="Times New Roman"/>
          <w:sz w:val="24"/>
          <w:szCs w:val="24"/>
        </w:rPr>
        <w:t>рассмотрени</w:t>
      </w:r>
      <w:r w:rsidR="00E13BD1" w:rsidRPr="00E13BD1">
        <w:rPr>
          <w:rFonts w:ascii="Times New Roman" w:eastAsia="Calibri" w:hAnsi="Times New Roman" w:cs="Times New Roman"/>
          <w:sz w:val="24"/>
          <w:szCs w:val="24"/>
        </w:rPr>
        <w:t>е</w:t>
      </w:r>
      <w:r w:rsidRPr="00E13BD1">
        <w:rPr>
          <w:rFonts w:ascii="Times New Roman" w:eastAsia="Calibri" w:hAnsi="Times New Roman" w:cs="Times New Roman"/>
          <w:sz w:val="24"/>
          <w:szCs w:val="24"/>
        </w:rPr>
        <w:t xml:space="preserve"> согласно действующему законодательству </w:t>
      </w:r>
      <w:r w:rsidR="00E13BD1" w:rsidRPr="00E13BD1">
        <w:rPr>
          <w:rFonts w:ascii="Times New Roman" w:eastAsia="Calibri" w:hAnsi="Times New Roman" w:cs="Times New Roman"/>
          <w:sz w:val="24"/>
          <w:szCs w:val="24"/>
        </w:rPr>
        <w:t xml:space="preserve">и </w:t>
      </w:r>
      <w:r w:rsidRPr="00E13BD1">
        <w:rPr>
          <w:rFonts w:ascii="Times New Roman" w:eastAsia="Calibri" w:hAnsi="Times New Roman" w:cs="Times New Roman"/>
          <w:sz w:val="24"/>
          <w:szCs w:val="24"/>
        </w:rPr>
        <w:t>решение принима</w:t>
      </w:r>
      <w:r w:rsidR="00E13BD1" w:rsidRPr="00E13BD1">
        <w:rPr>
          <w:rFonts w:ascii="Times New Roman" w:eastAsia="Calibri" w:hAnsi="Times New Roman" w:cs="Times New Roman"/>
          <w:sz w:val="24"/>
          <w:szCs w:val="24"/>
        </w:rPr>
        <w:t>ется</w:t>
      </w:r>
      <w:r w:rsidRPr="00E13BD1">
        <w:rPr>
          <w:rFonts w:ascii="Times New Roman" w:eastAsia="Calibri" w:hAnsi="Times New Roman" w:cs="Times New Roman"/>
          <w:sz w:val="24"/>
          <w:szCs w:val="24"/>
        </w:rPr>
        <w:t xml:space="preserve"> по заявлению с самой поздней датой поступления в ПФР, вне зависимости от общего количества заявлений, которое поступило от гражданина в течение года.</w:t>
      </w:r>
    </w:p>
    <w:p w:rsidR="0048506F" w:rsidRPr="0048506F" w:rsidRDefault="0048506F" w:rsidP="0048506F">
      <w:pPr>
        <w:autoSpaceDE w:val="0"/>
        <w:autoSpaceDN w:val="0"/>
        <w:adjustRightInd w:val="0"/>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В целом же по стране, </w:t>
      </w:r>
      <w:r w:rsidRPr="0048506F">
        <w:rPr>
          <w:rFonts w:ascii="Times New Roman" w:eastAsia="Calibri" w:hAnsi="Times New Roman" w:cs="Times New Roman"/>
          <w:sz w:val="24"/>
          <w:szCs w:val="24"/>
        </w:rPr>
        <w:t>в 39 негосударственных пенсионных фонд</w:t>
      </w:r>
      <w:r w:rsidR="008673EF">
        <w:rPr>
          <w:rFonts w:ascii="Times New Roman" w:eastAsia="Calibri" w:hAnsi="Times New Roman" w:cs="Times New Roman"/>
          <w:sz w:val="24"/>
          <w:szCs w:val="24"/>
        </w:rPr>
        <w:t>ах</w:t>
      </w:r>
      <w:r w:rsidRPr="0048506F">
        <w:rPr>
          <w:rFonts w:ascii="Times New Roman" w:eastAsia="Calibri" w:hAnsi="Times New Roman" w:cs="Times New Roman"/>
          <w:sz w:val="24"/>
          <w:szCs w:val="24"/>
        </w:rPr>
        <w:t>, вошедших в систему гарантирования прав застрахованных лиц, будет передано 234,37 млрд</w:t>
      </w:r>
      <w:r w:rsidR="00A205D5">
        <w:rPr>
          <w:rFonts w:ascii="Times New Roman" w:hAnsi="Times New Roman" w:cs="Times New Roman"/>
          <w:sz w:val="24"/>
          <w:szCs w:val="24"/>
        </w:rPr>
        <w:t>.</w:t>
      </w:r>
      <w:r w:rsidRPr="0048506F">
        <w:rPr>
          <w:rFonts w:ascii="Times New Roman" w:eastAsia="Calibri" w:hAnsi="Times New Roman" w:cs="Times New Roman"/>
          <w:sz w:val="24"/>
          <w:szCs w:val="24"/>
        </w:rPr>
        <w:t xml:space="preserve"> рублей средств пенсионных накоплений.</w:t>
      </w:r>
    </w:p>
    <w:p w:rsidR="00EF0BCD" w:rsidRDefault="0048506F" w:rsidP="00A205D5">
      <w:pPr>
        <w:autoSpaceDE w:val="0"/>
        <w:autoSpaceDN w:val="0"/>
        <w:adjustRightInd w:val="0"/>
        <w:ind w:firstLine="567"/>
        <w:jc w:val="both"/>
        <w:rPr>
          <w:rFonts w:ascii="Times New Roman" w:eastAsia="Calibri" w:hAnsi="Times New Roman" w:cs="Times New Roman"/>
          <w:b/>
          <w:sz w:val="24"/>
          <w:szCs w:val="24"/>
          <w:u w:val="single"/>
        </w:rPr>
      </w:pPr>
      <w:r w:rsidRPr="00E13BD1">
        <w:rPr>
          <w:rFonts w:ascii="Times New Roman" w:eastAsia="Calibri" w:hAnsi="Times New Roman" w:cs="Times New Roman"/>
          <w:b/>
          <w:sz w:val="24"/>
          <w:szCs w:val="24"/>
        </w:rPr>
        <w:t xml:space="preserve">Напомним – если переход из фонда в фонд осуществляется чаще </w:t>
      </w:r>
      <w:r w:rsidR="008673EF" w:rsidRPr="00E13BD1">
        <w:rPr>
          <w:rFonts w:ascii="Times New Roman" w:eastAsia="Calibri" w:hAnsi="Times New Roman" w:cs="Times New Roman"/>
          <w:b/>
          <w:sz w:val="24"/>
          <w:szCs w:val="24"/>
        </w:rPr>
        <w:t xml:space="preserve">одного </w:t>
      </w:r>
      <w:r w:rsidRPr="00E13BD1">
        <w:rPr>
          <w:rFonts w:ascii="Times New Roman" w:eastAsia="Calibri" w:hAnsi="Times New Roman" w:cs="Times New Roman"/>
          <w:b/>
          <w:sz w:val="24"/>
          <w:szCs w:val="24"/>
        </w:rPr>
        <w:t xml:space="preserve">раза в пять лет, </w:t>
      </w:r>
      <w:r w:rsidR="008673EF" w:rsidRPr="00E13BD1">
        <w:rPr>
          <w:rFonts w:ascii="Times New Roman" w:eastAsia="Calibri" w:hAnsi="Times New Roman" w:cs="Times New Roman"/>
          <w:b/>
          <w:sz w:val="24"/>
          <w:szCs w:val="24"/>
          <w:u w:val="single"/>
        </w:rPr>
        <w:t xml:space="preserve">то </w:t>
      </w:r>
      <w:r w:rsidRPr="00E13BD1">
        <w:rPr>
          <w:rFonts w:ascii="Times New Roman" w:eastAsia="Calibri" w:hAnsi="Times New Roman" w:cs="Times New Roman"/>
          <w:b/>
          <w:sz w:val="24"/>
          <w:szCs w:val="24"/>
          <w:u w:val="single"/>
        </w:rPr>
        <w:t>гражданин теряет инвестиционный доход с момента предыдущего перехода.</w:t>
      </w:r>
    </w:p>
    <w:p w:rsidR="00EF0BCD" w:rsidRDefault="00A139DC" w:rsidP="00EF0BCD">
      <w:pPr>
        <w:autoSpaceDE w:val="0"/>
        <w:autoSpaceDN w:val="0"/>
        <w:adjustRightInd w:val="0"/>
        <w:ind w:firstLine="567"/>
        <w:jc w:val="both"/>
        <w:rPr>
          <w:rFonts w:ascii="Times New Roman" w:eastAsia="Calibri" w:hAnsi="Times New Roman" w:cs="Times New Roman"/>
          <w:sz w:val="24"/>
          <w:szCs w:val="24"/>
        </w:rPr>
      </w:pPr>
      <w:r w:rsidRPr="00EF0BCD">
        <w:rPr>
          <w:rFonts w:ascii="Times New Roman" w:eastAsia="Calibri" w:hAnsi="Times New Roman" w:cs="Times New Roman"/>
          <w:sz w:val="24"/>
          <w:szCs w:val="24"/>
        </w:rPr>
        <w:t>Если  текущий страховщик получил убытки, то в некоторых случаях при досрочном переходе средства пенсионных накоплений передаются новому страховщику без компенсации убытков. При этом если страховщиком гражданина является ПФР</w:t>
      </w:r>
      <w:r w:rsidR="006A0BDB">
        <w:rPr>
          <w:rFonts w:ascii="Times New Roman" w:eastAsia="Calibri" w:hAnsi="Times New Roman" w:cs="Times New Roman"/>
          <w:sz w:val="24"/>
          <w:szCs w:val="24"/>
        </w:rPr>
        <w:t>которыйинвестирует пенсионные накопления через государственную управляющую компанию Внешэкономбанк и через частные управляющие компании</w:t>
      </w:r>
      <w:r w:rsidRPr="00EF0BCD">
        <w:rPr>
          <w:rFonts w:ascii="Times New Roman" w:eastAsia="Calibri" w:hAnsi="Times New Roman" w:cs="Times New Roman"/>
          <w:sz w:val="24"/>
          <w:szCs w:val="24"/>
        </w:rPr>
        <w:t xml:space="preserve">, смену </w:t>
      </w:r>
      <w:r w:rsidR="006A0BDB">
        <w:rPr>
          <w:rFonts w:ascii="Times New Roman" w:eastAsia="Calibri" w:hAnsi="Times New Roman" w:cs="Times New Roman"/>
          <w:sz w:val="24"/>
          <w:szCs w:val="24"/>
        </w:rPr>
        <w:t>УК</w:t>
      </w:r>
      <w:r w:rsidRPr="00EF0BCD">
        <w:rPr>
          <w:rFonts w:ascii="Times New Roman" w:eastAsia="Calibri" w:hAnsi="Times New Roman" w:cs="Times New Roman"/>
          <w:sz w:val="24"/>
          <w:szCs w:val="24"/>
        </w:rPr>
        <w:t xml:space="preserve"> или инвестиционного портфеля УК можно производить ежегодно без потери инвестиционного дохода!</w:t>
      </w:r>
    </w:p>
    <w:p w:rsidR="0048506F" w:rsidRPr="00EF0BCD" w:rsidRDefault="00EF0BCD" w:rsidP="00A205D5">
      <w:pPr>
        <w:autoSpaceDE w:val="0"/>
        <w:autoSpaceDN w:val="0"/>
        <w:adjustRightInd w:val="0"/>
        <w:ind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6057900" cy="3009900"/>
            <wp:effectExtent l="0" t="0" r="0" b="0"/>
            <wp:docPr id="2" name="Рисунок 2" descr="C:\Documents and Settings\user.WS05900301006\Рабочий стол\Пресс-релизы2017\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WS05900301006\Рабочий стол\Пресс-релизы2017\123.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3009900"/>
                    </a:xfrm>
                    <a:prstGeom prst="rect">
                      <a:avLst/>
                    </a:prstGeom>
                    <a:noFill/>
                    <a:ln>
                      <a:noFill/>
                    </a:ln>
                  </pic:spPr>
                </pic:pic>
              </a:graphicData>
            </a:graphic>
          </wp:inline>
        </w:drawing>
      </w:r>
    </w:p>
    <w:p w:rsidR="00EF0BCD" w:rsidRDefault="00A139DC" w:rsidP="00A205D5">
      <w:pPr>
        <w:autoSpaceDE w:val="0"/>
        <w:autoSpaceDN w:val="0"/>
        <w:adjustRightInd w:v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Необходимо внимательно подходить к выбору НПФ, принимать во внимание опыт, репутацию НПФ и показатели доходности от инвестирования пенсионных накоплений. </w:t>
      </w:r>
    </w:p>
    <w:p w:rsidR="00A139DC" w:rsidRDefault="00A139DC" w:rsidP="00A205D5">
      <w:pPr>
        <w:autoSpaceDE w:val="0"/>
        <w:autoSpaceDN w:val="0"/>
        <w:adjustRightInd w:val="0"/>
        <w:ind w:firstLine="567"/>
        <w:jc w:val="both"/>
        <w:rPr>
          <w:rFonts w:ascii="Times New Roman" w:eastAsia="Calibri" w:hAnsi="Times New Roman" w:cs="Times New Roman"/>
          <w:sz w:val="24"/>
          <w:szCs w:val="24"/>
          <w:u w:val="single"/>
        </w:rPr>
      </w:pPr>
      <w:r w:rsidRPr="00EF0BCD">
        <w:rPr>
          <w:rFonts w:ascii="Times New Roman" w:eastAsia="Calibri" w:hAnsi="Times New Roman" w:cs="Times New Roman"/>
          <w:sz w:val="24"/>
          <w:szCs w:val="24"/>
          <w:u w:val="single"/>
        </w:rPr>
        <w:t>Полная информация о негосударственных пенсионных фондах есть на сай</w:t>
      </w:r>
      <w:r w:rsidR="00EF0BCD" w:rsidRPr="00EF0BCD">
        <w:rPr>
          <w:rFonts w:ascii="Times New Roman" w:eastAsia="Calibri" w:hAnsi="Times New Roman" w:cs="Times New Roman"/>
          <w:sz w:val="24"/>
          <w:szCs w:val="24"/>
          <w:u w:val="single"/>
        </w:rPr>
        <w:t>те Банка России и на самих НПФ.</w:t>
      </w:r>
    </w:p>
    <w:p w:rsidR="00EF0BCD" w:rsidRDefault="00EF0BCD" w:rsidP="00A205D5">
      <w:pPr>
        <w:autoSpaceDE w:val="0"/>
        <w:autoSpaceDN w:val="0"/>
        <w:adjustRightInd w:val="0"/>
        <w:ind w:firstLine="567"/>
        <w:jc w:val="both"/>
        <w:rPr>
          <w:rFonts w:ascii="Times New Roman" w:eastAsia="Calibri" w:hAnsi="Times New Roman" w:cs="Times New Roman"/>
          <w:sz w:val="24"/>
          <w:szCs w:val="24"/>
        </w:rPr>
      </w:pPr>
      <w:r w:rsidRPr="00EF0BCD">
        <w:rPr>
          <w:rFonts w:ascii="Times New Roman" w:eastAsia="Calibri" w:hAnsi="Times New Roman" w:cs="Times New Roman"/>
          <w:sz w:val="24"/>
          <w:szCs w:val="24"/>
        </w:rPr>
        <w:t>Заявление о переходе</w:t>
      </w:r>
      <w:r>
        <w:rPr>
          <w:rFonts w:ascii="Times New Roman" w:eastAsia="Calibri" w:hAnsi="Times New Roman" w:cs="Times New Roman"/>
          <w:sz w:val="24"/>
          <w:szCs w:val="24"/>
        </w:rPr>
        <w:t xml:space="preserve"> к новому страховщику можно подать в управление ПФР  Ягоднинского района по месту жительства лично, через представителя, через МФЦ или по почте. Также заявление можно подать онлайн через Единый портал государственных услуг или через Личный кабинет гражданина на сайте Пенсионного фонда России.</w:t>
      </w:r>
    </w:p>
    <w:p w:rsidR="006A0BDB" w:rsidRDefault="006A0BDB" w:rsidP="00A205D5">
      <w:pPr>
        <w:autoSpaceDE w:val="0"/>
        <w:autoSpaceDN w:val="0"/>
        <w:adjustRightInd w:val="0"/>
        <w:ind w:firstLine="567"/>
        <w:jc w:val="both"/>
        <w:rPr>
          <w:rFonts w:ascii="Times New Roman" w:eastAsia="Calibri" w:hAnsi="Times New Roman" w:cs="Times New Roman"/>
          <w:b/>
          <w:sz w:val="24"/>
          <w:szCs w:val="24"/>
        </w:rPr>
      </w:pPr>
    </w:p>
    <w:p w:rsidR="00AC6D18" w:rsidRPr="00AC6D18" w:rsidRDefault="00AC6D18" w:rsidP="00A205D5">
      <w:pPr>
        <w:autoSpaceDE w:val="0"/>
        <w:autoSpaceDN w:val="0"/>
        <w:adjustRightInd w:val="0"/>
        <w:ind w:firstLine="567"/>
        <w:jc w:val="both"/>
        <w:rPr>
          <w:rFonts w:ascii="Times New Roman" w:eastAsia="Calibri" w:hAnsi="Times New Roman" w:cs="Times New Roman"/>
          <w:b/>
          <w:sz w:val="24"/>
          <w:szCs w:val="24"/>
        </w:rPr>
      </w:pPr>
      <w:r w:rsidRPr="00AC6D18">
        <w:rPr>
          <w:rFonts w:ascii="Times New Roman" w:eastAsia="Calibri" w:hAnsi="Times New Roman" w:cs="Times New Roman"/>
          <w:b/>
          <w:sz w:val="24"/>
          <w:szCs w:val="24"/>
        </w:rPr>
        <w:t>Начальник управления</w:t>
      </w:r>
      <w:r w:rsidR="003C2A66">
        <w:rPr>
          <w:rFonts w:ascii="Times New Roman" w:eastAsia="Calibri" w:hAnsi="Times New Roman" w:cs="Times New Roman"/>
          <w:b/>
          <w:sz w:val="24"/>
          <w:szCs w:val="24"/>
        </w:rPr>
        <w:t xml:space="preserve">                                                                                    </w:t>
      </w:r>
      <w:r w:rsidRPr="00AC6D18">
        <w:rPr>
          <w:rFonts w:ascii="Times New Roman" w:eastAsia="Calibri" w:hAnsi="Times New Roman" w:cs="Times New Roman"/>
          <w:b/>
          <w:sz w:val="24"/>
          <w:szCs w:val="24"/>
        </w:rPr>
        <w:t xml:space="preserve">М.С. </w:t>
      </w:r>
      <w:proofErr w:type="spellStart"/>
      <w:r w:rsidRPr="00AC6D18">
        <w:rPr>
          <w:rFonts w:ascii="Times New Roman" w:eastAsia="Calibri" w:hAnsi="Times New Roman" w:cs="Times New Roman"/>
          <w:b/>
          <w:sz w:val="24"/>
          <w:szCs w:val="24"/>
        </w:rPr>
        <w:t>Цуканов</w:t>
      </w:r>
      <w:proofErr w:type="spellEnd"/>
    </w:p>
    <w:p w:rsidR="00E13BD1" w:rsidRPr="00A205D5" w:rsidRDefault="00E13BD1" w:rsidP="00A205D5">
      <w:pPr>
        <w:autoSpaceDE w:val="0"/>
        <w:autoSpaceDN w:val="0"/>
        <w:adjustRightInd w:val="0"/>
        <w:ind w:firstLine="567"/>
        <w:jc w:val="both"/>
        <w:rPr>
          <w:rFonts w:ascii="Times New Roman" w:eastAsia="Calibri" w:hAnsi="Times New Roman" w:cs="Times New Roman"/>
          <w:sz w:val="24"/>
          <w:szCs w:val="24"/>
        </w:rPr>
      </w:pPr>
    </w:p>
    <w:p w:rsidR="0048506F" w:rsidRDefault="0048506F" w:rsidP="00E21AE7">
      <w:pPr>
        <w:ind w:firstLine="709"/>
        <w:jc w:val="both"/>
        <w:rPr>
          <w:rFonts w:ascii="Times New Roman" w:hAnsi="Times New Roman" w:cs="Times New Roman"/>
          <w:b/>
        </w:rPr>
      </w:pPr>
    </w:p>
    <w:sectPr w:rsidR="0048506F" w:rsidSect="002C4C77">
      <w:pgSz w:w="11906" w:h="16838"/>
      <w:pgMar w:top="397" w:right="851"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2EB0"/>
    <w:multiLevelType w:val="hybridMultilevel"/>
    <w:tmpl w:val="2034B7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82E"/>
    <w:rsid w:val="00123729"/>
    <w:rsid w:val="00216CCF"/>
    <w:rsid w:val="00246AB5"/>
    <w:rsid w:val="0024773C"/>
    <w:rsid w:val="002876C1"/>
    <w:rsid w:val="002C4C77"/>
    <w:rsid w:val="00301E18"/>
    <w:rsid w:val="00374234"/>
    <w:rsid w:val="003C2A66"/>
    <w:rsid w:val="003D3D24"/>
    <w:rsid w:val="003F378C"/>
    <w:rsid w:val="0048506F"/>
    <w:rsid w:val="00640264"/>
    <w:rsid w:val="006A0BDB"/>
    <w:rsid w:val="00733C2B"/>
    <w:rsid w:val="007F182E"/>
    <w:rsid w:val="008673EF"/>
    <w:rsid w:val="00877C70"/>
    <w:rsid w:val="008B512E"/>
    <w:rsid w:val="008F5D46"/>
    <w:rsid w:val="00A139DC"/>
    <w:rsid w:val="00A205D5"/>
    <w:rsid w:val="00A5408D"/>
    <w:rsid w:val="00AC6D18"/>
    <w:rsid w:val="00AD03CB"/>
    <w:rsid w:val="00B00742"/>
    <w:rsid w:val="00B372B6"/>
    <w:rsid w:val="00C312D1"/>
    <w:rsid w:val="00DA0ACC"/>
    <w:rsid w:val="00DB5978"/>
    <w:rsid w:val="00E13BD1"/>
    <w:rsid w:val="00E21AE7"/>
    <w:rsid w:val="00EF0BCD"/>
    <w:rsid w:val="00F0305A"/>
    <w:rsid w:val="00F71ADD"/>
    <w:rsid w:val="00F80918"/>
    <w:rsid w:val="00FC1F88"/>
    <w:rsid w:val="00FD1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82E"/>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E13BD1"/>
    <w:pPr>
      <w:ind w:left="720"/>
      <w:contextualSpacing/>
    </w:pPr>
  </w:style>
  <w:style w:type="paragraph" w:styleId="a5">
    <w:name w:val="Balloon Text"/>
    <w:basedOn w:val="a"/>
    <w:link w:val="a6"/>
    <w:uiPriority w:val="99"/>
    <w:semiHidden/>
    <w:unhideWhenUsed/>
    <w:rsid w:val="00EF0BCD"/>
    <w:rPr>
      <w:rFonts w:ascii="Tahoma" w:hAnsi="Tahoma" w:cs="Tahoma"/>
      <w:sz w:val="16"/>
      <w:szCs w:val="16"/>
    </w:rPr>
  </w:style>
  <w:style w:type="character" w:customStyle="1" w:styleId="a6">
    <w:name w:val="Текст выноски Знак"/>
    <w:basedOn w:val="a0"/>
    <w:link w:val="a5"/>
    <w:uiPriority w:val="99"/>
    <w:semiHidden/>
    <w:rsid w:val="00EF0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241433">
      <w:bodyDiv w:val="1"/>
      <w:marLeft w:val="0"/>
      <w:marRight w:val="0"/>
      <w:marTop w:val="0"/>
      <w:marBottom w:val="0"/>
      <w:divBdr>
        <w:top w:val="none" w:sz="0" w:space="0" w:color="auto"/>
        <w:left w:val="none" w:sz="0" w:space="0" w:color="auto"/>
        <w:bottom w:val="none" w:sz="0" w:space="0" w:color="auto"/>
        <w:right w:val="none" w:sz="0" w:space="0" w:color="auto"/>
      </w:divBdr>
    </w:div>
    <w:div w:id="1823109924">
      <w:bodyDiv w:val="1"/>
      <w:marLeft w:val="0"/>
      <w:marRight w:val="0"/>
      <w:marTop w:val="0"/>
      <w:marBottom w:val="0"/>
      <w:divBdr>
        <w:top w:val="none" w:sz="0" w:space="0" w:color="auto"/>
        <w:left w:val="none" w:sz="0" w:space="0" w:color="auto"/>
        <w:bottom w:val="none" w:sz="0" w:space="0" w:color="auto"/>
        <w:right w:val="none" w:sz="0" w:space="0" w:color="auto"/>
      </w:divBdr>
      <w:divsChild>
        <w:div w:id="37481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059-2203</dc:creator>
  <cp:lastModifiedBy>User</cp:lastModifiedBy>
  <cp:revision>21</cp:revision>
  <cp:lastPrinted>2017-04-03T07:25:00Z</cp:lastPrinted>
  <dcterms:created xsi:type="dcterms:W3CDTF">2017-03-29T05:01:00Z</dcterms:created>
  <dcterms:modified xsi:type="dcterms:W3CDTF">2017-04-04T23:32:00Z</dcterms:modified>
</cp:coreProperties>
</file>