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91" w:rsidRPr="00D41A91" w:rsidRDefault="00D41A91" w:rsidP="00D41A91">
      <w:pPr>
        <w:pStyle w:val="ConsPlusNormal"/>
        <w:jc w:val="center"/>
        <w:outlineLvl w:val="0"/>
        <w:rPr>
          <w:rFonts w:ascii="Times New Roman" w:hAnsi="Times New Roman" w:cs="Times New Roman"/>
          <w:b/>
          <w:bCs/>
          <w:sz w:val="18"/>
          <w:szCs w:val="18"/>
        </w:rPr>
      </w:pPr>
      <w:r w:rsidRPr="00D41A91">
        <w:rPr>
          <w:rFonts w:ascii="Times New Roman" w:hAnsi="Times New Roman" w:cs="Times New Roman"/>
          <w:b/>
          <w:bCs/>
          <w:sz w:val="18"/>
          <w:szCs w:val="18"/>
        </w:rPr>
        <w:t>МИНИСТЕРСТВО ПРОМЫШЛЕННОСТИ И ТОРГОВЛИ РОССИЙСКОЙ ФЕДЕРАЦИИ</w:t>
      </w:r>
    </w:p>
    <w:p w:rsidR="00D41A91" w:rsidRPr="00D41A91" w:rsidRDefault="00D41A91" w:rsidP="00D41A91">
      <w:pPr>
        <w:pStyle w:val="ConsPlusNormal"/>
        <w:jc w:val="center"/>
        <w:rPr>
          <w:rFonts w:ascii="Times New Roman" w:hAnsi="Times New Roman" w:cs="Times New Roman"/>
          <w:b/>
          <w:bCs/>
          <w:sz w:val="18"/>
          <w:szCs w:val="18"/>
        </w:rPr>
      </w:pP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ПРИКАЗ</w:t>
      </w: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от 25 декабря 2014 г. N 2733</w:t>
      </w:r>
    </w:p>
    <w:p w:rsidR="00D41A91" w:rsidRPr="00D41A91" w:rsidRDefault="00D41A91" w:rsidP="00D41A91">
      <w:pPr>
        <w:pStyle w:val="ConsPlusNormal"/>
        <w:jc w:val="center"/>
        <w:rPr>
          <w:rFonts w:ascii="Times New Roman" w:hAnsi="Times New Roman" w:cs="Times New Roman"/>
          <w:b/>
          <w:bCs/>
          <w:sz w:val="18"/>
          <w:szCs w:val="18"/>
        </w:rPr>
      </w:pP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ОБ УТВЕРЖДЕНИИ СТРАТЕГИИ</w:t>
      </w: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РАЗВИТИЯ ТОРГОВЛИ В РОССИЙСКОЙ ФЕДЕРАЦИИ НА 2015 - 2016</w:t>
      </w: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ГОДЫ И ПЕРИОД ДО 2020 ГОДА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Во исполнение пункта 2 раздела I протокола заседания Правительства Российской Федерации от 2 октября 2014 г. N 38 приказываю:</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1. Утвердить прилагаемую </w:t>
      </w:r>
      <w:hyperlink w:anchor="Par25" w:history="1">
        <w:r w:rsidRPr="00D41A91">
          <w:rPr>
            <w:rFonts w:ascii="Times New Roman" w:hAnsi="Times New Roman" w:cs="Times New Roman"/>
            <w:color w:val="0000FF"/>
            <w:sz w:val="18"/>
            <w:szCs w:val="18"/>
          </w:rPr>
          <w:t>Стратегию</w:t>
        </w:r>
      </w:hyperlink>
      <w:r w:rsidRPr="00D41A91">
        <w:rPr>
          <w:rFonts w:ascii="Times New Roman" w:hAnsi="Times New Roman" w:cs="Times New Roman"/>
          <w:sz w:val="18"/>
          <w:szCs w:val="18"/>
        </w:rPr>
        <w:t xml:space="preserve"> развития торговли в Российской Федерации на 2015 - 2016 годы и период до 2020 года.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2. Признать утратившим силу </w:t>
      </w:r>
      <w:hyperlink r:id="rId4" w:history="1">
        <w:r w:rsidRPr="00D41A91">
          <w:rPr>
            <w:rFonts w:ascii="Times New Roman" w:hAnsi="Times New Roman" w:cs="Times New Roman"/>
            <w:color w:val="0000FF"/>
            <w:sz w:val="18"/>
            <w:szCs w:val="18"/>
          </w:rPr>
          <w:t>приказ</w:t>
        </w:r>
      </w:hyperlink>
      <w:r w:rsidRPr="00D41A91">
        <w:rPr>
          <w:rFonts w:ascii="Times New Roman" w:hAnsi="Times New Roman" w:cs="Times New Roman"/>
          <w:sz w:val="18"/>
          <w:szCs w:val="18"/>
        </w:rPr>
        <w:t xml:space="preserve"> Министерства промышленности и торговли Российской Федерации от 31 марта 2011 г. N 422 "Об утверждении Стратегии развития торговли в Российской Федерации на 2011 - 2015 годы и период до 2020 года".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3. Контроль за исполнением настоящего приказа возложить на статс-секретаря - заместителя Министра В.Л. </w:t>
      </w:r>
      <w:proofErr w:type="spellStart"/>
      <w:r w:rsidRPr="00D41A91">
        <w:rPr>
          <w:rFonts w:ascii="Times New Roman" w:hAnsi="Times New Roman" w:cs="Times New Roman"/>
          <w:sz w:val="18"/>
          <w:szCs w:val="18"/>
        </w:rPr>
        <w:t>Евтухова</w:t>
      </w:r>
      <w:proofErr w:type="spellEnd"/>
      <w:r w:rsidRPr="00D41A91">
        <w:rPr>
          <w:rFonts w:ascii="Times New Roman" w:hAnsi="Times New Roman" w:cs="Times New Roman"/>
          <w:sz w:val="18"/>
          <w:szCs w:val="18"/>
        </w:rPr>
        <w:t>.</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Министр</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Д.В.МАНТУРОВ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right"/>
        <w:outlineLvl w:val="0"/>
        <w:rPr>
          <w:rFonts w:ascii="Times New Roman" w:hAnsi="Times New Roman" w:cs="Times New Roman"/>
          <w:sz w:val="18"/>
          <w:szCs w:val="18"/>
        </w:rPr>
      </w:pPr>
      <w:r w:rsidRPr="00D41A91">
        <w:rPr>
          <w:rFonts w:ascii="Times New Roman" w:hAnsi="Times New Roman" w:cs="Times New Roman"/>
          <w:sz w:val="18"/>
          <w:szCs w:val="18"/>
        </w:rPr>
        <w:t>Утверждена</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 xml:space="preserve">приказом </w:t>
      </w:r>
      <w:proofErr w:type="spellStart"/>
      <w:r w:rsidRPr="00D41A91">
        <w:rPr>
          <w:rFonts w:ascii="Times New Roman" w:hAnsi="Times New Roman" w:cs="Times New Roman"/>
          <w:sz w:val="18"/>
          <w:szCs w:val="18"/>
        </w:rPr>
        <w:t>Минпромторга</w:t>
      </w:r>
      <w:proofErr w:type="spellEnd"/>
      <w:r w:rsidRPr="00D41A91">
        <w:rPr>
          <w:rFonts w:ascii="Times New Roman" w:hAnsi="Times New Roman" w:cs="Times New Roman"/>
          <w:sz w:val="18"/>
          <w:szCs w:val="18"/>
        </w:rPr>
        <w:t xml:space="preserve"> России</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от 25 декабря 2014 г. N 2733</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center"/>
        <w:rPr>
          <w:rFonts w:ascii="Times New Roman" w:hAnsi="Times New Roman" w:cs="Times New Roman"/>
          <w:b/>
          <w:bCs/>
          <w:sz w:val="18"/>
          <w:szCs w:val="18"/>
        </w:rPr>
      </w:pPr>
      <w:bookmarkStart w:id="0" w:name="Par25"/>
      <w:bookmarkEnd w:id="0"/>
      <w:r w:rsidRPr="00D41A91">
        <w:rPr>
          <w:rFonts w:ascii="Times New Roman" w:hAnsi="Times New Roman" w:cs="Times New Roman"/>
          <w:b/>
          <w:bCs/>
          <w:sz w:val="18"/>
          <w:szCs w:val="18"/>
        </w:rPr>
        <w:t>СТРАТЕГИЯ</w:t>
      </w: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РАЗВИТИЯ ТОРГОВЛИ В РОССИЙСКОЙ ФЕДЕРАЦИИ НА 2015 - 2016</w:t>
      </w:r>
    </w:p>
    <w:p w:rsidR="00D41A91" w:rsidRPr="00D41A91" w:rsidRDefault="00D41A91" w:rsidP="00D41A91">
      <w:pPr>
        <w:pStyle w:val="ConsPlusNormal"/>
        <w:jc w:val="center"/>
        <w:rPr>
          <w:rFonts w:ascii="Times New Roman" w:hAnsi="Times New Roman" w:cs="Times New Roman"/>
          <w:b/>
          <w:bCs/>
          <w:sz w:val="18"/>
          <w:szCs w:val="18"/>
        </w:rPr>
      </w:pPr>
      <w:r w:rsidRPr="00D41A91">
        <w:rPr>
          <w:rFonts w:ascii="Times New Roman" w:hAnsi="Times New Roman" w:cs="Times New Roman"/>
          <w:b/>
          <w:bCs/>
          <w:sz w:val="18"/>
          <w:szCs w:val="18"/>
        </w:rPr>
        <w:t>ГОДЫ И ПЕРИОД ДО 2020 ГОДА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1"/>
        <w:rPr>
          <w:rFonts w:ascii="Times New Roman" w:hAnsi="Times New Roman" w:cs="Times New Roman"/>
          <w:sz w:val="18"/>
          <w:szCs w:val="18"/>
        </w:rPr>
      </w:pPr>
      <w:r w:rsidRPr="00D41A91">
        <w:rPr>
          <w:rFonts w:ascii="Times New Roman" w:hAnsi="Times New Roman" w:cs="Times New Roman"/>
          <w:sz w:val="18"/>
          <w:szCs w:val="18"/>
        </w:rPr>
        <w:t>1. Введение</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эффективной товаропроводящей системы, соответствующей требованиям развития социальной сферы и экономики Российской Федерации.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 порядок мониторинга реализации Стратегии.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 учетом социально-экономических и внешнеэкономических реалий, в том числе для выполнения задачи по </w:t>
      </w:r>
      <w:proofErr w:type="spellStart"/>
      <w:r w:rsidRPr="00D41A91">
        <w:rPr>
          <w:rFonts w:ascii="Times New Roman" w:hAnsi="Times New Roman" w:cs="Times New Roman"/>
          <w:sz w:val="18"/>
          <w:szCs w:val="18"/>
        </w:rPr>
        <w:t>импортозамещению</w:t>
      </w:r>
      <w:proofErr w:type="spellEnd"/>
      <w:r w:rsidRPr="00D41A91">
        <w:rPr>
          <w:rFonts w:ascii="Times New Roman" w:hAnsi="Times New Roman" w:cs="Times New Roman"/>
          <w:sz w:val="18"/>
          <w:szCs w:val="18"/>
        </w:rPr>
        <w:t xml:space="preserve">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ее участников на всех этапах движения товара от производителей, в первую очередь отечественных, до потребителей.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lastRenderedPageBreak/>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w:t>
      </w:r>
      <w:proofErr w:type="spellStart"/>
      <w:r w:rsidRPr="00D41A91">
        <w:rPr>
          <w:rFonts w:ascii="Times New Roman" w:hAnsi="Times New Roman" w:cs="Times New Roman"/>
          <w:sz w:val="18"/>
          <w:szCs w:val="18"/>
        </w:rPr>
        <w:t>востребованность</w:t>
      </w:r>
      <w:proofErr w:type="spellEnd"/>
      <w:r w:rsidRPr="00D41A91">
        <w:rPr>
          <w:rFonts w:ascii="Times New Roman" w:hAnsi="Times New Roman" w:cs="Times New Roman"/>
          <w:sz w:val="18"/>
          <w:szCs w:val="18"/>
        </w:rPr>
        <w:t xml:space="preserve">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а в конечном счете - потребителем.</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Основой определения целевых индикаторов настоящей Стратегии, указанных в </w:t>
      </w:r>
      <w:hyperlink w:anchor="Par279" w:history="1">
        <w:r w:rsidRPr="00D41A91">
          <w:rPr>
            <w:rFonts w:ascii="Times New Roman" w:hAnsi="Times New Roman" w:cs="Times New Roman"/>
            <w:color w:val="0000FF"/>
            <w:sz w:val="18"/>
            <w:szCs w:val="18"/>
          </w:rPr>
          <w:t>приложении 1</w:t>
        </w:r>
      </w:hyperlink>
      <w:r w:rsidRPr="00D41A91">
        <w:rPr>
          <w:rFonts w:ascii="Times New Roman" w:hAnsi="Times New Roman" w:cs="Times New Roman"/>
          <w:sz w:val="18"/>
          <w:szCs w:val="18"/>
        </w:rP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1) количество торговых объектов всех форматов торговли, включая торговые места на рынках и ярмарках;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физическом, отражающем возможность приобретения товаров в необходимых для комфортной жизни объеме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экономическом,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3) количество хозяйствующих субъектов (организаций и индивидуальных предпринимателей), осуществляющих розничную торговлю;</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4) уровень развития дистанционной торговли (прежде всего </w:t>
      </w:r>
      <w:proofErr w:type="spellStart"/>
      <w:r w:rsidRPr="00D41A91">
        <w:rPr>
          <w:rFonts w:ascii="Times New Roman" w:hAnsi="Times New Roman" w:cs="Times New Roman"/>
          <w:sz w:val="18"/>
          <w:szCs w:val="18"/>
        </w:rPr>
        <w:t>интернет-торговли</w:t>
      </w:r>
      <w:proofErr w:type="spellEnd"/>
      <w:r w:rsidRPr="00D41A91">
        <w:rPr>
          <w:rFonts w:ascii="Times New Roman" w:hAnsi="Times New Roman" w:cs="Times New Roman"/>
          <w:sz w:val="18"/>
          <w:szCs w:val="18"/>
        </w:rPr>
        <w:t>).</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D41A91">
        <w:rPr>
          <w:rFonts w:ascii="Times New Roman" w:hAnsi="Times New Roman" w:cs="Times New Roman"/>
          <w:sz w:val="18"/>
          <w:szCs w:val="18"/>
        </w:rPr>
        <w:t>микропредприятий</w:t>
      </w:r>
      <w:proofErr w:type="spellEnd"/>
      <w:r w:rsidRPr="00D41A91">
        <w:rPr>
          <w:rFonts w:ascii="Times New Roman" w:hAnsi="Times New Roman" w:cs="Times New Roman"/>
          <w:sz w:val="18"/>
          <w:szCs w:val="18"/>
        </w:rPr>
        <w:t xml:space="preserve"> и индивидуальных предпринимателей, как неотъемлемого элемента формирования конкурентной среды.</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1"/>
        <w:rPr>
          <w:rFonts w:ascii="Times New Roman" w:hAnsi="Times New Roman" w:cs="Times New Roman"/>
          <w:sz w:val="18"/>
          <w:szCs w:val="18"/>
        </w:rPr>
      </w:pPr>
      <w:r w:rsidRPr="00D41A91">
        <w:rPr>
          <w:rFonts w:ascii="Times New Roman" w:hAnsi="Times New Roman" w:cs="Times New Roman"/>
          <w:sz w:val="18"/>
          <w:szCs w:val="18"/>
        </w:rPr>
        <w:t>2. Анализ состояния и развития торговой отрасли в Российской Федерации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Потребительский рынок остается одним из наиболее устойчивых к рискам экономического развития секторов отечественной экономики.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Тем не менее, в 2013 г. усилилась тенденция замедления темпов роста оборота розничной торговли.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За 2013 г. оборот розничной торговли составил 23685,9 млрд. рублей. Рост составил 3,9% к 2012 г.</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Торговая отрасль продолжает оставаться лидером по обеспечению занятости для населения: общая численность занятых в 2013 г. составила более 12,4 </w:t>
      </w:r>
      <w:proofErr w:type="spellStart"/>
      <w:r w:rsidRPr="00D41A91">
        <w:rPr>
          <w:rFonts w:ascii="Times New Roman" w:hAnsi="Times New Roman" w:cs="Times New Roman"/>
          <w:sz w:val="18"/>
          <w:szCs w:val="18"/>
        </w:rPr>
        <w:t>млн</w:t>
      </w:r>
      <w:proofErr w:type="spellEnd"/>
      <w:r w:rsidRPr="00D41A91">
        <w:rPr>
          <w:rFonts w:ascii="Times New Roman" w:hAnsi="Times New Roman" w:cs="Times New Roman"/>
          <w:sz w:val="18"/>
          <w:szCs w:val="18"/>
        </w:rPr>
        <w:t xml:space="preserve"> человек - 18,3% от среднегодовой численности по видам экономической деятельности.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w:t>
      </w:r>
      <w:proofErr w:type="spellStart"/>
      <w:r w:rsidRPr="00D41A91">
        <w:rPr>
          <w:rFonts w:ascii="Times New Roman" w:hAnsi="Times New Roman" w:cs="Times New Roman"/>
          <w:sz w:val="18"/>
          <w:szCs w:val="18"/>
        </w:rPr>
        <w:t>микропредприятий</w:t>
      </w:r>
      <w:proofErr w:type="spellEnd"/>
      <w:r w:rsidRPr="00D41A91">
        <w:rPr>
          <w:rFonts w:ascii="Times New Roman" w:hAnsi="Times New Roman" w:cs="Times New Roman"/>
          <w:sz w:val="18"/>
          <w:szCs w:val="18"/>
        </w:rPr>
        <w:t xml:space="preserve"> (30,8% от общего числа), на 2013 г. - 68,6 тыс. (28,8%). Преимущественно сокращение произошло за счет </w:t>
      </w:r>
      <w:r w:rsidRPr="00D41A91">
        <w:rPr>
          <w:rFonts w:ascii="Times New Roman" w:hAnsi="Times New Roman" w:cs="Times New Roman"/>
          <w:sz w:val="18"/>
          <w:szCs w:val="18"/>
        </w:rPr>
        <w:lastRenderedPageBreak/>
        <w:t>организаций оптовой торговли, число которых снизилось за год на 5,5%, число организаций розничной торговли сократилось всего на 0,4 тыс. единиц.</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розничной торговли, когда производитель независимо от своего размера может воспользоваться разными возможностями сбыта.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Это же отвечает интересам потребителей, которые в развитых странах используют одновременно 6 - 7 форматов торговли, тогда как в России зачастую данный показатель находится на уровне 2 - 3 торговых форматов, что свидетельствует о недостаточном уровне комфорта потребительской среды.</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w:t>
      </w:r>
      <w:proofErr w:type="spellStart"/>
      <w:r w:rsidRPr="00D41A91">
        <w:rPr>
          <w:rFonts w:ascii="Times New Roman" w:hAnsi="Times New Roman" w:cs="Times New Roman"/>
          <w:sz w:val="18"/>
          <w:szCs w:val="18"/>
        </w:rPr>
        <w:t>Минпромторгом</w:t>
      </w:r>
      <w:proofErr w:type="spellEnd"/>
      <w:r w:rsidRPr="00D41A91">
        <w:rPr>
          <w:rFonts w:ascii="Times New Roman" w:hAnsi="Times New Roman" w:cs="Times New Roman"/>
          <w:sz w:val="18"/>
          <w:szCs w:val="18"/>
        </w:rPr>
        <w:t xml:space="preserve">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ее производства.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w:t>
      </w:r>
      <w:hyperlink r:id="rId5" w:history="1">
        <w:r w:rsidRPr="00D41A91">
          <w:rPr>
            <w:rFonts w:ascii="Times New Roman" w:hAnsi="Times New Roman" w:cs="Times New Roman"/>
            <w:color w:val="0000FF"/>
            <w:sz w:val="18"/>
            <w:szCs w:val="18"/>
          </w:rPr>
          <w:t>приказ</w:t>
        </w:r>
      </w:hyperlink>
      <w:r w:rsidRPr="00D41A91">
        <w:rPr>
          <w:rFonts w:ascii="Times New Roman" w:hAnsi="Times New Roman" w:cs="Times New Roman"/>
          <w:sz w:val="18"/>
          <w:szCs w:val="18"/>
        </w:rPr>
        <w:t xml:space="preserve"> от 2 августа 2010 г. N 593н).</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w:t>
      </w:r>
      <w:proofErr w:type="spellStart"/>
      <w:r w:rsidRPr="00D41A91">
        <w:rPr>
          <w:rFonts w:ascii="Times New Roman" w:hAnsi="Times New Roman" w:cs="Times New Roman"/>
          <w:sz w:val="18"/>
          <w:szCs w:val="18"/>
        </w:rPr>
        <w:t>нераскрытости</w:t>
      </w:r>
      <w:proofErr w:type="spellEnd"/>
      <w:r w:rsidRPr="00D41A91">
        <w:rPr>
          <w:rFonts w:ascii="Times New Roman" w:hAnsi="Times New Roman" w:cs="Times New Roman"/>
          <w:sz w:val="18"/>
          <w:szCs w:val="18"/>
        </w:rPr>
        <w:t xml:space="preserve"> потенциала местного производства свежих скоропортящихся продуктов и неразвитости каналов сбыта данной продукции.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Это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rsidRPr="00D41A91">
        <w:rPr>
          <w:rFonts w:ascii="Times New Roman" w:hAnsi="Times New Roman" w:cs="Times New Roman"/>
          <w:sz w:val="18"/>
          <w:szCs w:val="18"/>
        </w:rPr>
        <w:t>импортозамещению</w:t>
      </w:r>
      <w:proofErr w:type="spellEnd"/>
      <w:r w:rsidRPr="00D41A91">
        <w:rPr>
          <w:rFonts w:ascii="Times New Roman" w:hAnsi="Times New Roman" w:cs="Times New Roman"/>
          <w:sz w:val="18"/>
          <w:szCs w:val="18"/>
        </w:rPr>
        <w:t xml:space="preserve"> потребительских товаров зарубежного производства отечественными аналогами.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rsidRPr="00D41A91">
        <w:rPr>
          <w:rFonts w:ascii="Times New Roman" w:hAnsi="Times New Roman" w:cs="Times New Roman"/>
          <w:sz w:val="18"/>
          <w:szCs w:val="18"/>
        </w:rPr>
        <w:t>низкозатратной</w:t>
      </w:r>
      <w:proofErr w:type="spellEnd"/>
      <w:r w:rsidRPr="00D41A91">
        <w:rPr>
          <w:rFonts w:ascii="Times New Roman" w:hAnsi="Times New Roman" w:cs="Times New Roman"/>
          <w:sz w:val="18"/>
          <w:szCs w:val="18"/>
        </w:rPr>
        <w:t xml:space="preserve">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Отрасль торговли играет важную социальную и экономическую роль не только на уровне страны в целом, но и на уровне каждого региона.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площадями, товарным ассортиментом, то есть в показателях, которые непосредственно относятся к отрасли торговли, так и в уровне развития </w:t>
      </w:r>
      <w:proofErr w:type="spellStart"/>
      <w:r w:rsidRPr="00D41A91">
        <w:rPr>
          <w:rFonts w:ascii="Times New Roman" w:hAnsi="Times New Roman" w:cs="Times New Roman"/>
          <w:sz w:val="18"/>
          <w:szCs w:val="18"/>
        </w:rPr>
        <w:t>транспортно-логистической</w:t>
      </w:r>
      <w:proofErr w:type="spellEnd"/>
      <w:r w:rsidRPr="00D41A91">
        <w:rPr>
          <w:rFonts w:ascii="Times New Roman" w:hAnsi="Times New Roman" w:cs="Times New Roman"/>
          <w:sz w:val="18"/>
          <w:szCs w:val="18"/>
        </w:rPr>
        <w:t xml:space="preserve">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В последние годы в Российской Федерации наблюдается рост общего количества торговых объектов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w:t>
      </w:r>
      <w:proofErr w:type="spellStart"/>
      <w:r w:rsidRPr="00D41A91">
        <w:rPr>
          <w:rFonts w:ascii="Times New Roman" w:hAnsi="Times New Roman" w:cs="Times New Roman"/>
          <w:sz w:val="18"/>
          <w:szCs w:val="18"/>
        </w:rPr>
        <w:t>дискаунтеров</w:t>
      </w:r>
      <w:proofErr w:type="spellEnd"/>
      <w:r w:rsidRPr="00D41A91">
        <w:rPr>
          <w:rFonts w:ascii="Times New Roman" w:hAnsi="Times New Roman" w:cs="Times New Roman"/>
          <w:sz w:val="18"/>
          <w:szCs w:val="18"/>
        </w:rPr>
        <w:t>.</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w:t>
      </w:r>
      <w:proofErr w:type="spellStart"/>
      <w:r w:rsidRPr="00D41A91">
        <w:rPr>
          <w:rFonts w:ascii="Times New Roman" w:hAnsi="Times New Roman" w:cs="Times New Roman"/>
          <w:sz w:val="18"/>
          <w:szCs w:val="18"/>
        </w:rPr>
        <w:t>городов-</w:t>
      </w:r>
      <w:r w:rsidRPr="00D41A91">
        <w:rPr>
          <w:rFonts w:ascii="Times New Roman" w:hAnsi="Times New Roman" w:cs="Times New Roman"/>
          <w:sz w:val="18"/>
          <w:szCs w:val="18"/>
        </w:rPr>
        <w:lastRenderedPageBreak/>
        <w:t>миллионников</w:t>
      </w:r>
      <w:proofErr w:type="spellEnd"/>
      <w:r w:rsidRPr="00D41A91">
        <w:rPr>
          <w:rFonts w:ascii="Times New Roman" w:hAnsi="Times New Roman" w:cs="Times New Roman"/>
          <w:sz w:val="18"/>
          <w:szCs w:val="18"/>
        </w:rPr>
        <w:t xml:space="preserve"> - еще 30%. Таким образом, на долю оставшихся жителей, которые составляют 75% населения страны, приходится пятая часть площадей таких объектов.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 учетом труднодоступности ряда территорий Российской Федерации, а также в связи со слабой развитостью торговой инфраструктуры на значительной части территории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Торговля традиционно является местом или способом занятости для высвобождаемых из производственных секторов работников.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w:t>
      </w:r>
      <w:proofErr w:type="spellStart"/>
      <w:r w:rsidRPr="00D41A91">
        <w:rPr>
          <w:rFonts w:ascii="Times New Roman" w:hAnsi="Times New Roman" w:cs="Times New Roman"/>
          <w:sz w:val="18"/>
          <w:szCs w:val="18"/>
        </w:rPr>
        <w:t>закредитованности</w:t>
      </w:r>
      <w:proofErr w:type="spellEnd"/>
      <w:r w:rsidRPr="00D41A91">
        <w:rPr>
          <w:rFonts w:ascii="Times New Roman" w:hAnsi="Times New Roman" w:cs="Times New Roman"/>
          <w:sz w:val="18"/>
          <w:szCs w:val="18"/>
        </w:rPr>
        <w:t xml:space="preserve">"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 Наконец, без опережающего развития инфраструктуры розничной и оптовой торговли невозможно осуществлять </w:t>
      </w:r>
      <w:proofErr w:type="spellStart"/>
      <w:r w:rsidRPr="00D41A91">
        <w:rPr>
          <w:rFonts w:ascii="Times New Roman" w:hAnsi="Times New Roman" w:cs="Times New Roman"/>
          <w:sz w:val="18"/>
          <w:szCs w:val="18"/>
        </w:rPr>
        <w:t>импортозамещение</w:t>
      </w:r>
      <w:proofErr w:type="spellEnd"/>
      <w:r w:rsidRPr="00D41A91">
        <w:rPr>
          <w:rFonts w:ascii="Times New Roman" w:hAnsi="Times New Roman" w:cs="Times New Roman"/>
          <w:sz w:val="18"/>
          <w:szCs w:val="18"/>
        </w:rPr>
        <w:t xml:space="preserve">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1"/>
        <w:rPr>
          <w:rFonts w:ascii="Times New Roman" w:hAnsi="Times New Roman" w:cs="Times New Roman"/>
          <w:sz w:val="18"/>
          <w:szCs w:val="18"/>
        </w:rPr>
      </w:pPr>
      <w:r w:rsidRPr="00D41A91">
        <w:rPr>
          <w:rFonts w:ascii="Times New Roman" w:hAnsi="Times New Roman" w:cs="Times New Roman"/>
          <w:sz w:val="18"/>
          <w:szCs w:val="18"/>
        </w:rPr>
        <w:t>3. Механизмы и способы достижения цели и решения задач настоящей Стратегии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Целью Стратегии, как указывалось выше, является создание условий для формирования комфортной потребительской среды.</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Формирование комфортной потребительской среды достигается преимущественно через развитие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инфраструктуры торговли посредством стимулирования роста любых форм предпринимательской активности.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торговли.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деятельности органов власти субъектов Российской Федерации.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достижения поставленной цели необходимо выполнение комплекса мероприятий по решению следующих задач.</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3.1. Развитие механизмов саморегулирования</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Развитие саморегулирования, взаимодействия </w:t>
      </w:r>
      <w:proofErr w:type="spellStart"/>
      <w:r w:rsidRPr="00D41A91">
        <w:rPr>
          <w:rFonts w:ascii="Times New Roman" w:hAnsi="Times New Roman" w:cs="Times New Roman"/>
          <w:sz w:val="18"/>
          <w:szCs w:val="18"/>
        </w:rPr>
        <w:t>саморегулируемых</w:t>
      </w:r>
      <w:proofErr w:type="spellEnd"/>
      <w:r w:rsidRPr="00D41A91">
        <w:rPr>
          <w:rFonts w:ascii="Times New Roman" w:hAnsi="Times New Roman" w:cs="Times New Roman"/>
          <w:sz w:val="18"/>
          <w:szCs w:val="18"/>
        </w:rPr>
        <w:t xml:space="preserve">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Развитие саморегулирования прежде всего важно в крупном сетевом </w:t>
      </w:r>
      <w:proofErr w:type="spellStart"/>
      <w:r w:rsidRPr="00D41A91">
        <w:rPr>
          <w:rFonts w:ascii="Times New Roman" w:hAnsi="Times New Roman" w:cs="Times New Roman"/>
          <w:sz w:val="18"/>
          <w:szCs w:val="18"/>
        </w:rPr>
        <w:t>ритейле</w:t>
      </w:r>
      <w:proofErr w:type="spellEnd"/>
      <w:r w:rsidRPr="00D41A91">
        <w:rPr>
          <w:rFonts w:ascii="Times New Roman" w:hAnsi="Times New Roman" w:cs="Times New Roman"/>
          <w:sz w:val="18"/>
          <w:szCs w:val="18"/>
        </w:rPr>
        <w:t xml:space="preserve">,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w:t>
      </w:r>
      <w:r w:rsidRPr="00D41A91">
        <w:rPr>
          <w:rFonts w:ascii="Times New Roman" w:hAnsi="Times New Roman" w:cs="Times New Roman"/>
          <w:sz w:val="18"/>
          <w:szCs w:val="18"/>
        </w:rPr>
        <w:lastRenderedPageBreak/>
        <w:t>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хозяйствующих субъектов, а конкуренцией стандартов обслуживания потребителей и стандартов работы с поставщиками и производителями.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3.2. Развитие малого торгового бизнеса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Необходимо учитывать, что с экономической точки зрения малые форматы, как правило, по объективным причинам менее эффективны, чем крупный </w:t>
      </w:r>
      <w:proofErr w:type="spellStart"/>
      <w:r w:rsidRPr="00D41A91">
        <w:rPr>
          <w:rFonts w:ascii="Times New Roman" w:hAnsi="Times New Roman" w:cs="Times New Roman"/>
          <w:sz w:val="18"/>
          <w:szCs w:val="18"/>
        </w:rPr>
        <w:t>ритейл</w:t>
      </w:r>
      <w:proofErr w:type="spellEnd"/>
      <w:r w:rsidRPr="00D41A91">
        <w:rPr>
          <w:rFonts w:ascii="Times New Roman" w:hAnsi="Times New Roman" w:cs="Times New Roman"/>
          <w:sz w:val="18"/>
          <w:szCs w:val="18"/>
        </w:rPr>
        <w:t>,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Специализированные малые форматы торговли печатной продукцией - киоски, павильоны, </w:t>
      </w:r>
      <w:proofErr w:type="spellStart"/>
      <w:r w:rsidRPr="00D41A91">
        <w:rPr>
          <w:rFonts w:ascii="Times New Roman" w:hAnsi="Times New Roman" w:cs="Times New Roman"/>
          <w:sz w:val="18"/>
          <w:szCs w:val="18"/>
        </w:rPr>
        <w:t>пресс-стенды</w:t>
      </w:r>
      <w:proofErr w:type="spellEnd"/>
      <w:r w:rsidRPr="00D41A91">
        <w:rPr>
          <w:rFonts w:ascii="Times New Roman" w:hAnsi="Times New Roman" w:cs="Times New Roman"/>
          <w:sz w:val="18"/>
          <w:szCs w:val="18"/>
        </w:rP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Малые торговые форматы также обеспечивают </w:t>
      </w:r>
      <w:proofErr w:type="spellStart"/>
      <w:r w:rsidRPr="00D41A91">
        <w:rPr>
          <w:rFonts w:ascii="Times New Roman" w:hAnsi="Times New Roman" w:cs="Times New Roman"/>
          <w:sz w:val="18"/>
          <w:szCs w:val="18"/>
        </w:rPr>
        <w:t>самозанятость</w:t>
      </w:r>
      <w:proofErr w:type="spellEnd"/>
      <w:r w:rsidRPr="00D41A91">
        <w:rPr>
          <w:rFonts w:ascii="Times New Roman" w:hAnsi="Times New Roman" w:cs="Times New Roman"/>
          <w:sz w:val="18"/>
          <w:szCs w:val="18"/>
        </w:rPr>
        <w:t xml:space="preserve"> граждан и являются самыми распространенными стартовыми площадками для начинающих предпринимателей.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Распространенная форма малого бизнеса в развитых и развивающихся странах - торговля через автоматы. Проблемы автоматизированной (</w:t>
      </w:r>
      <w:proofErr w:type="spellStart"/>
      <w:r w:rsidRPr="00D41A91">
        <w:rPr>
          <w:rFonts w:ascii="Times New Roman" w:hAnsi="Times New Roman" w:cs="Times New Roman"/>
          <w:sz w:val="18"/>
          <w:szCs w:val="18"/>
        </w:rPr>
        <w:t>вендинговой</w:t>
      </w:r>
      <w:proofErr w:type="spellEnd"/>
      <w:r w:rsidRPr="00D41A91">
        <w:rPr>
          <w:rFonts w:ascii="Times New Roman" w:hAnsi="Times New Roman" w:cs="Times New Roman"/>
          <w:sz w:val="18"/>
          <w:szCs w:val="18"/>
        </w:rPr>
        <w:t>)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3.2.1. Развитие мобильной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Развитие мобильной торговли (торговли с использованием специализированных </w:t>
      </w:r>
      <w:proofErr w:type="spellStart"/>
      <w:r w:rsidRPr="00D41A91">
        <w:rPr>
          <w:rFonts w:ascii="Times New Roman" w:hAnsi="Times New Roman" w:cs="Times New Roman"/>
          <w:sz w:val="18"/>
          <w:szCs w:val="18"/>
        </w:rPr>
        <w:t>автомагазинов</w:t>
      </w:r>
      <w:proofErr w:type="spellEnd"/>
      <w:r w:rsidRPr="00D41A91">
        <w:rPr>
          <w:rFonts w:ascii="Times New Roman" w:hAnsi="Times New Roman" w:cs="Times New Roman"/>
          <w:sz w:val="18"/>
          <w:szCs w:val="18"/>
        </w:rPr>
        <w:t xml:space="preserve">,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 В свою очередь развитие торговли из </w:t>
      </w:r>
      <w:proofErr w:type="spellStart"/>
      <w:r w:rsidRPr="00D41A91">
        <w:rPr>
          <w:rFonts w:ascii="Times New Roman" w:hAnsi="Times New Roman" w:cs="Times New Roman"/>
          <w:sz w:val="18"/>
          <w:szCs w:val="18"/>
        </w:rPr>
        <w:t>автомагазинов</w:t>
      </w:r>
      <w:proofErr w:type="spellEnd"/>
      <w:r w:rsidRPr="00D41A91">
        <w:rPr>
          <w:rFonts w:ascii="Times New Roman" w:hAnsi="Times New Roman" w:cs="Times New Roman"/>
          <w:sz w:val="18"/>
          <w:szCs w:val="18"/>
        </w:rPr>
        <w:t xml:space="preserve"> дает толчок развитию малых предприятий сервиса, сопутствующих услуг и производства.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Мобильная торговля является действенным способом продвижения бренда и прямой дистрибуции для производителей продовольственных товаров.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удаленных и малонаселенных пунктов мобильная торговля - один из немногих, а порой единственный способ снабжения жителей товарами.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Осуществление мобильной торговли предполагает серьезные инвестиции хозяйствующего субъекта в приобретение и обслуживание </w:t>
      </w:r>
      <w:proofErr w:type="spellStart"/>
      <w:r w:rsidRPr="00D41A91">
        <w:rPr>
          <w:rFonts w:ascii="Times New Roman" w:hAnsi="Times New Roman" w:cs="Times New Roman"/>
          <w:sz w:val="18"/>
          <w:szCs w:val="18"/>
        </w:rPr>
        <w:t>автомагазина</w:t>
      </w:r>
      <w:proofErr w:type="spellEnd"/>
      <w:r w:rsidRPr="00D41A91">
        <w:rPr>
          <w:rFonts w:ascii="Times New Roman" w:hAnsi="Times New Roman" w:cs="Times New Roman"/>
          <w:sz w:val="18"/>
          <w:szCs w:val="1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3.2.2. Обеспечение возможности стабильного функционирования и развития нестационарной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При градостроительной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"меняется место - сохраняется бизнес".</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lastRenderedPageBreak/>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3.2.3. Развитие ярмарочной торговли и максимальное упрощение всех процедур для организации и проведения ярмарок и участия в них</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Необходимо обеспечить возможность лицу, желающему осуществлять сбыт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3.2.4. Организация современных сельскохозяйственных и продовольственных рынков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w:t>
      </w:r>
      <w:proofErr w:type="spellStart"/>
      <w:r w:rsidRPr="00D41A91">
        <w:rPr>
          <w:rFonts w:ascii="Times New Roman" w:hAnsi="Times New Roman" w:cs="Times New Roman"/>
          <w:sz w:val="18"/>
          <w:szCs w:val="18"/>
        </w:rPr>
        <w:t>социокультурных</w:t>
      </w:r>
      <w:proofErr w:type="spellEnd"/>
      <w:r w:rsidRPr="00D41A91">
        <w:rPr>
          <w:rFonts w:ascii="Times New Roman" w:hAnsi="Times New Roman" w:cs="Times New Roman"/>
          <w:sz w:val="18"/>
          <w:szCs w:val="18"/>
        </w:rPr>
        <w:t xml:space="preserve">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3.2.5. Развитие малого семейного торгового бизнеса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D41A91">
        <w:rPr>
          <w:rFonts w:ascii="Times New Roman" w:hAnsi="Times New Roman" w:cs="Times New Roman"/>
          <w:sz w:val="18"/>
          <w:szCs w:val="18"/>
        </w:rPr>
        <w:t>клиентоориентированной</w:t>
      </w:r>
      <w:proofErr w:type="spellEnd"/>
      <w:r w:rsidRPr="00D41A91">
        <w:rPr>
          <w:rFonts w:ascii="Times New Roman" w:hAnsi="Times New Roman" w:cs="Times New Roman"/>
          <w:sz w:val="18"/>
          <w:szCs w:val="1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3.3. Развитие дистанционной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Основными факторами, влияющими на развитие электронной торговли, </w:t>
      </w:r>
      <w:proofErr w:type="spellStart"/>
      <w:r w:rsidRPr="00D41A91">
        <w:rPr>
          <w:rFonts w:ascii="Times New Roman" w:hAnsi="Times New Roman" w:cs="Times New Roman"/>
          <w:sz w:val="18"/>
          <w:szCs w:val="18"/>
        </w:rPr>
        <w:t>телеторговли</w:t>
      </w:r>
      <w:proofErr w:type="spellEnd"/>
      <w:r w:rsidRPr="00D41A91">
        <w:rPr>
          <w:rFonts w:ascii="Times New Roman" w:hAnsi="Times New Roman" w:cs="Times New Roman"/>
          <w:sz w:val="18"/>
          <w:szCs w:val="18"/>
        </w:rPr>
        <w:t>,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1) доступ населения к Интернету, телевидению;</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2) развитая система почтовой и курьерской доставки (в зависимости от вида дистанционной торговли);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3) развитая и надежная (безопасная) система электронных платежей;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4) большая территория страны и невысокая плотность населения.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3.4. Поддержка специфических социально-ориентированных торговых форматов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В рамках содействия формированию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3.5. Развитие современного оптового продовольственного звена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Оптовое звено должно максимально снизить издержки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Система оптовых продовольственных рынков должна существовать параллельно распределительным центрам крупного сетевого </w:t>
      </w:r>
      <w:proofErr w:type="spellStart"/>
      <w:r w:rsidRPr="00D41A91">
        <w:rPr>
          <w:rFonts w:ascii="Times New Roman" w:hAnsi="Times New Roman" w:cs="Times New Roman"/>
          <w:sz w:val="18"/>
          <w:szCs w:val="18"/>
        </w:rPr>
        <w:t>ритейла</w:t>
      </w:r>
      <w:proofErr w:type="spellEnd"/>
      <w:r w:rsidRPr="00D41A91">
        <w:rPr>
          <w:rFonts w:ascii="Times New Roman" w:hAnsi="Times New Roman" w:cs="Times New Roman"/>
          <w:sz w:val="18"/>
          <w:szCs w:val="18"/>
        </w:rPr>
        <w:t>,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Задача оптовых продовольственных рынков (оптовых распределительных центров) - </w:t>
      </w:r>
      <w:proofErr w:type="spellStart"/>
      <w:r w:rsidRPr="00D41A91">
        <w:rPr>
          <w:rFonts w:ascii="Times New Roman" w:hAnsi="Times New Roman" w:cs="Times New Roman"/>
          <w:sz w:val="18"/>
          <w:szCs w:val="18"/>
        </w:rPr>
        <w:t>инфраструктурно</w:t>
      </w:r>
      <w:proofErr w:type="spellEnd"/>
      <w:r w:rsidRPr="00D41A91">
        <w:rPr>
          <w:rFonts w:ascii="Times New Roman" w:hAnsi="Times New Roman" w:cs="Times New Roman"/>
          <w:sz w:val="18"/>
          <w:szCs w:val="18"/>
        </w:rPr>
        <w:t xml:space="preserve">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в сфере торговли вне зависимости от формата торгового бизнеса равный доступ к одинаково качественной продукции в широком ассортименте.</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200 - 300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Значимость мелкооптового звена торговли определяется тем, что именно оно выступает партнером прежде всего для малого и среднего розничного торгового бизнеса.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3.6. Развитие современных сетевых торговых форматов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w:t>
      </w:r>
      <w:proofErr w:type="spellStart"/>
      <w:r w:rsidRPr="00D41A91">
        <w:rPr>
          <w:rFonts w:ascii="Times New Roman" w:hAnsi="Times New Roman" w:cs="Times New Roman"/>
          <w:sz w:val="18"/>
          <w:szCs w:val="18"/>
        </w:rPr>
        <w:t>логистической</w:t>
      </w:r>
      <w:proofErr w:type="spellEnd"/>
      <w:r w:rsidRPr="00D41A91">
        <w:rPr>
          <w:rFonts w:ascii="Times New Roman" w:hAnsi="Times New Roman" w:cs="Times New Roman"/>
          <w:sz w:val="18"/>
          <w:szCs w:val="18"/>
        </w:rPr>
        <w:t xml:space="preserve">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w:t>
      </w:r>
      <w:proofErr w:type="spellStart"/>
      <w:r w:rsidRPr="00D41A91">
        <w:rPr>
          <w:rFonts w:ascii="Times New Roman" w:hAnsi="Times New Roman" w:cs="Times New Roman"/>
          <w:sz w:val="18"/>
          <w:szCs w:val="18"/>
        </w:rPr>
        <w:t>ритейла</w:t>
      </w:r>
      <w:proofErr w:type="spellEnd"/>
      <w:r w:rsidRPr="00D41A91">
        <w:rPr>
          <w:rFonts w:ascii="Times New Roman" w:hAnsi="Times New Roman" w:cs="Times New Roman"/>
          <w:sz w:val="18"/>
          <w:szCs w:val="18"/>
        </w:rPr>
        <w:t xml:space="preserve">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3.7. Совершенствование нормативов обеспеченности населения площадью торговых объектов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3.7.1. Введение дифференцированных по форматам нормативов минимальной обеспеченности населения площадью торговых объектов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есть открыв один крупный торговый центр и ни одного малоформатного магазина можно достичь заданного норматива.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связи с этим необходимо ввести дифференцированный подход, предусматривающий, помимо общего, дополнительные виды нормативов: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нормативы для продовольственных торговых объектов местного значения в зависимости от масштаба населенного пункта;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нормативы обеспеченности рынками и ярмарками.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3.7.2. Проработка вопроса согласования местными властями строительства крупных торговых объектов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В целях оптимального размещения крупных торговых объектов, магазинов шаговой доступности, супермаркетов и </w:t>
      </w:r>
      <w:proofErr w:type="spellStart"/>
      <w:r w:rsidRPr="00D41A91">
        <w:rPr>
          <w:rFonts w:ascii="Times New Roman" w:hAnsi="Times New Roman" w:cs="Times New Roman"/>
          <w:sz w:val="18"/>
          <w:szCs w:val="18"/>
        </w:rPr>
        <w:t>минимаркетов</w:t>
      </w:r>
      <w:proofErr w:type="spellEnd"/>
      <w:r w:rsidRPr="00D41A91">
        <w:rPr>
          <w:rFonts w:ascii="Times New Roman" w:hAnsi="Times New Roman" w:cs="Times New Roman"/>
          <w:sz w:val="18"/>
          <w:szCs w:val="18"/>
        </w:rPr>
        <w:t xml:space="preserve">, объектов мелкорозничной торговли, оптовых и розничных рынков, построения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3.8. Создание системы адресной продовольственной помощи малоимущим гражданам</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w:t>
      </w:r>
      <w:proofErr w:type="spellStart"/>
      <w:r w:rsidRPr="00D41A91">
        <w:rPr>
          <w:rFonts w:ascii="Times New Roman" w:hAnsi="Times New Roman" w:cs="Times New Roman"/>
          <w:sz w:val="18"/>
          <w:szCs w:val="18"/>
        </w:rPr>
        <w:t>food</w:t>
      </w:r>
      <w:proofErr w:type="spellEnd"/>
      <w:r w:rsidRPr="00D41A91">
        <w:rPr>
          <w:rFonts w:ascii="Times New Roman" w:hAnsi="Times New Roman" w:cs="Times New Roman"/>
          <w:sz w:val="18"/>
          <w:szCs w:val="18"/>
        </w:rPr>
        <w:t xml:space="preserve"> </w:t>
      </w:r>
      <w:proofErr w:type="spellStart"/>
      <w:r w:rsidRPr="00D41A91">
        <w:rPr>
          <w:rFonts w:ascii="Times New Roman" w:hAnsi="Times New Roman" w:cs="Times New Roman"/>
          <w:sz w:val="18"/>
          <w:szCs w:val="18"/>
        </w:rPr>
        <w:t>stamps</w:t>
      </w:r>
      <w:proofErr w:type="spellEnd"/>
      <w:r w:rsidRPr="00D41A91">
        <w:rPr>
          <w:rFonts w:ascii="Times New Roman" w:hAnsi="Times New Roman" w:cs="Times New Roman"/>
          <w:sz w:val="18"/>
          <w:szCs w:val="18"/>
        </w:rPr>
        <w:t>).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Создание указанной системы соотносится с основными направлениями </w:t>
      </w:r>
      <w:hyperlink r:id="rId6" w:history="1">
        <w:r w:rsidRPr="00D41A91">
          <w:rPr>
            <w:rFonts w:ascii="Times New Roman" w:hAnsi="Times New Roman" w:cs="Times New Roman"/>
            <w:color w:val="0000FF"/>
            <w:sz w:val="18"/>
            <w:szCs w:val="18"/>
          </w:rPr>
          <w:t>Концепции</w:t>
        </w:r>
      </w:hyperlink>
      <w:r w:rsidRPr="00D41A91">
        <w:rPr>
          <w:rFonts w:ascii="Times New Roman" w:hAnsi="Times New Roman" w:cs="Times New Roman"/>
          <w:sz w:val="18"/>
          <w:szCs w:val="18"/>
        </w:rP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и может быть проработано в рамках мероприятий, предусмотренных </w:t>
      </w:r>
      <w:hyperlink r:id="rId7" w:history="1">
        <w:r w:rsidRPr="00D41A91">
          <w:rPr>
            <w:rFonts w:ascii="Times New Roman" w:hAnsi="Times New Roman" w:cs="Times New Roman"/>
            <w:color w:val="0000FF"/>
            <w:sz w:val="18"/>
            <w:szCs w:val="18"/>
          </w:rPr>
          <w:t>распоряжением</w:t>
        </w:r>
      </w:hyperlink>
      <w:r w:rsidRPr="00D41A91">
        <w:rPr>
          <w:rFonts w:ascii="Times New Roman" w:hAnsi="Times New Roman" w:cs="Times New Roman"/>
          <w:sz w:val="18"/>
          <w:szCs w:val="18"/>
        </w:rPr>
        <w:t xml:space="preserve"> Правительства Российской Федерации от 11 октября 2014 г. N 2028-р.</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w:t>
      </w:r>
      <w:proofErr w:type="spellStart"/>
      <w:r w:rsidRPr="00D41A91">
        <w:rPr>
          <w:rFonts w:ascii="Times New Roman" w:hAnsi="Times New Roman" w:cs="Times New Roman"/>
          <w:sz w:val="18"/>
          <w:szCs w:val="18"/>
        </w:rPr>
        <w:t>многоформатной</w:t>
      </w:r>
      <w:proofErr w:type="spellEnd"/>
      <w:r w:rsidRPr="00D41A91">
        <w:rPr>
          <w:rFonts w:ascii="Times New Roman" w:hAnsi="Times New Roman" w:cs="Times New Roman"/>
          <w:sz w:val="18"/>
          <w:szCs w:val="18"/>
        </w:rPr>
        <w:t xml:space="preserve"> торговой инфраструктуры и повышению предпринимательской активности в розничной и оптовой торговле.</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3.9.2. Дифференциация территорий по значимости розничных рынков сбыта для экономики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розничные рынки сбыта федерального значения: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города Москва, Санкт-Петербург, Севастополь, </w:t>
      </w:r>
      <w:proofErr w:type="spellStart"/>
      <w:r w:rsidRPr="00D41A91">
        <w:rPr>
          <w:rFonts w:ascii="Times New Roman" w:hAnsi="Times New Roman" w:cs="Times New Roman"/>
          <w:sz w:val="18"/>
          <w:szCs w:val="18"/>
        </w:rPr>
        <w:t>города-миллионники</w:t>
      </w:r>
      <w:proofErr w:type="spellEnd"/>
      <w:r w:rsidRPr="00D41A91">
        <w:rPr>
          <w:rFonts w:ascii="Times New Roman" w:hAnsi="Times New Roman" w:cs="Times New Roman"/>
          <w:sz w:val="18"/>
          <w:szCs w:val="18"/>
        </w:rPr>
        <w:t xml:space="preserve">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розничные рынки сбыта регионального и местного значения: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города с численностью менее 100 тыс. жителей (значительные местные рынки);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небольшие поселения и территории без поселений.</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3.9.3. Актуализация региональных программ содействия развитию торговли в субъектах Российской Федерации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3"/>
        <w:rPr>
          <w:rFonts w:ascii="Times New Roman" w:hAnsi="Times New Roman" w:cs="Times New Roman"/>
          <w:sz w:val="18"/>
          <w:szCs w:val="18"/>
        </w:rPr>
      </w:pPr>
      <w:r w:rsidRPr="00D41A91">
        <w:rPr>
          <w:rFonts w:ascii="Times New Roman" w:hAnsi="Times New Roman" w:cs="Times New Roman"/>
          <w:sz w:val="18"/>
          <w:szCs w:val="18"/>
        </w:rPr>
        <w:t>3.9.4. Методическое и консультационное обеспечение работы в субъектах Российской Федерации по реализации Стратегии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 проводит методическое и консультационное обеспечение работы органов государственной власти субъектов Российской Федерации по выполнению мероприятий Стратегии и достижению KPI, а также единообразному пониманию подходов по развитию торговли.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3.10. Налоговая нагрузка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lastRenderedPageBreak/>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3.11. Повышение привлекательности осуществления торговой деятельности в малочисленных, труднодоступных и отдаленных населенных пунктах</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3.12. Улучшение имиджа торговой отрасли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2"/>
        <w:rPr>
          <w:rFonts w:ascii="Times New Roman" w:hAnsi="Times New Roman" w:cs="Times New Roman"/>
          <w:sz w:val="18"/>
          <w:szCs w:val="18"/>
        </w:rPr>
      </w:pPr>
      <w:r w:rsidRPr="00D41A91">
        <w:rPr>
          <w:rFonts w:ascii="Times New Roman" w:hAnsi="Times New Roman" w:cs="Times New Roman"/>
          <w:sz w:val="18"/>
          <w:szCs w:val="18"/>
        </w:rPr>
        <w:t>3.13. Повышение эффективности и сбалансированности регулирования отношений в области торговой деятельности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решения задачи по повышению эффективности государственного регулирования отношений в области торговой деятельности необходимы:</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систематизация нормативных правовых актов, регулирующих отношения в области торговой деятельности: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а) проведение инвентаризации нормативных правовых актов, определение актуальности их норм и положений (экономическая, юридическая и социальная </w:t>
      </w:r>
      <w:proofErr w:type="spellStart"/>
      <w:r w:rsidRPr="00D41A91">
        <w:rPr>
          <w:rFonts w:ascii="Times New Roman" w:hAnsi="Times New Roman" w:cs="Times New Roman"/>
          <w:sz w:val="18"/>
          <w:szCs w:val="18"/>
        </w:rPr>
        <w:t>востребованность</w:t>
      </w:r>
      <w:proofErr w:type="spellEnd"/>
      <w:r w:rsidRPr="00D41A91">
        <w:rPr>
          <w:rFonts w:ascii="Times New Roman" w:hAnsi="Times New Roman" w:cs="Times New Roman"/>
          <w:sz w:val="18"/>
          <w:szCs w:val="18"/>
        </w:rPr>
        <w:t>),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координация процесса формирования (актуализации) нормативных правовых актов: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а) внесение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б) непосредственно участие </w:t>
      </w:r>
      <w:proofErr w:type="spellStart"/>
      <w:r w:rsidRPr="00D41A91">
        <w:rPr>
          <w:rFonts w:ascii="Times New Roman" w:hAnsi="Times New Roman" w:cs="Times New Roman"/>
          <w:sz w:val="18"/>
          <w:szCs w:val="18"/>
        </w:rPr>
        <w:t>Минпромторга</w:t>
      </w:r>
      <w:proofErr w:type="spellEnd"/>
      <w:r w:rsidRPr="00D41A91">
        <w:rPr>
          <w:rFonts w:ascii="Times New Roman" w:hAnsi="Times New Roman" w:cs="Times New Roman"/>
          <w:sz w:val="18"/>
          <w:szCs w:val="18"/>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w:t>
      </w:r>
      <w:r w:rsidRPr="00D41A91">
        <w:rPr>
          <w:rFonts w:ascii="Times New Roman" w:hAnsi="Times New Roman" w:cs="Times New Roman"/>
          <w:sz w:val="18"/>
          <w:szCs w:val="18"/>
        </w:rPr>
        <w:lastRenderedPageBreak/>
        <w:t>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1"/>
        <w:rPr>
          <w:rFonts w:ascii="Times New Roman" w:hAnsi="Times New Roman" w:cs="Times New Roman"/>
          <w:sz w:val="18"/>
          <w:szCs w:val="18"/>
        </w:rPr>
      </w:pPr>
      <w:r w:rsidRPr="00D41A91">
        <w:rPr>
          <w:rFonts w:ascii="Times New Roman" w:hAnsi="Times New Roman" w:cs="Times New Roman"/>
          <w:sz w:val="18"/>
          <w:szCs w:val="18"/>
        </w:rPr>
        <w:t>4. Модернизация системы информационного обеспечения в области торговой деятельности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Созданная в соответствии с </w:t>
      </w:r>
      <w:hyperlink r:id="rId8" w:history="1">
        <w:r w:rsidRPr="00D41A91">
          <w:rPr>
            <w:rFonts w:ascii="Times New Roman" w:hAnsi="Times New Roman" w:cs="Times New Roman"/>
            <w:color w:val="0000FF"/>
            <w:sz w:val="18"/>
            <w:szCs w:val="18"/>
          </w:rPr>
          <w:t>частью 1 статьи 20</w:t>
        </w:r>
      </w:hyperlink>
      <w:r w:rsidRPr="00D41A91">
        <w:rPr>
          <w:rFonts w:ascii="Times New Roman" w:hAnsi="Times New Roman" w:cs="Times New Roman"/>
          <w:sz w:val="18"/>
          <w:szCs w:val="18"/>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hyperlink r:id="rId9" w:history="1">
        <w:r w:rsidRPr="00D41A91">
          <w:rPr>
            <w:rFonts w:ascii="Times New Roman" w:hAnsi="Times New Roman" w:cs="Times New Roman"/>
            <w:color w:val="0000FF"/>
            <w:sz w:val="18"/>
            <w:szCs w:val="18"/>
          </w:rPr>
          <w:t>постановление</w:t>
        </w:r>
      </w:hyperlink>
      <w:r w:rsidRPr="00D41A91">
        <w:rPr>
          <w:rFonts w:ascii="Times New Roman" w:hAnsi="Times New Roman" w:cs="Times New Roman"/>
          <w:sz w:val="18"/>
          <w:szCs w:val="18"/>
        </w:rPr>
        <w:t xml:space="preserve"> Правительства Российской Федерации от 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Возложенная </w:t>
      </w:r>
      <w:hyperlink r:id="rId10" w:history="1">
        <w:r w:rsidRPr="00D41A91">
          <w:rPr>
            <w:rFonts w:ascii="Times New Roman" w:hAnsi="Times New Roman" w:cs="Times New Roman"/>
            <w:color w:val="0000FF"/>
            <w:sz w:val="18"/>
            <w:szCs w:val="18"/>
          </w:rPr>
          <w:t>Законом</w:t>
        </w:r>
      </w:hyperlink>
      <w:r w:rsidRPr="00D41A91">
        <w:rPr>
          <w:rFonts w:ascii="Times New Roman" w:hAnsi="Times New Roman" w:cs="Times New Roman"/>
          <w:sz w:val="18"/>
          <w:szCs w:val="18"/>
        </w:rPr>
        <w:t xml:space="preserve">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outlineLvl w:val="1"/>
        <w:rPr>
          <w:rFonts w:ascii="Times New Roman" w:hAnsi="Times New Roman" w:cs="Times New Roman"/>
          <w:sz w:val="18"/>
          <w:szCs w:val="18"/>
        </w:rPr>
      </w:pPr>
      <w:r w:rsidRPr="00D41A91">
        <w:rPr>
          <w:rFonts w:ascii="Times New Roman" w:hAnsi="Times New Roman" w:cs="Times New Roman"/>
          <w:sz w:val="18"/>
          <w:szCs w:val="18"/>
        </w:rPr>
        <w:t>5. Механизм мониторинга реализации Стратегии</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Для обеспечения эффективной реализации настоящей Стратегии </w:t>
      </w:r>
      <w:proofErr w:type="spellStart"/>
      <w:r w:rsidRPr="00D41A91">
        <w:rPr>
          <w:rFonts w:ascii="Times New Roman" w:hAnsi="Times New Roman" w:cs="Times New Roman"/>
          <w:sz w:val="18"/>
          <w:szCs w:val="18"/>
        </w:rPr>
        <w:t>Минпромторгом</w:t>
      </w:r>
      <w:proofErr w:type="spellEnd"/>
      <w:r w:rsidRPr="00D41A91">
        <w:rPr>
          <w:rFonts w:ascii="Times New Roman" w:hAnsi="Times New Roman" w:cs="Times New Roman"/>
          <w:sz w:val="18"/>
          <w:szCs w:val="18"/>
        </w:rPr>
        <w:t xml:space="preserve"> России ежегодно проводится мониторинг выполнения мероприятий, предусмотренных Стратегией в соответствии с Планом мероприятий Стратегии (</w:t>
      </w:r>
      <w:hyperlink w:anchor="Par354" w:history="1">
        <w:r w:rsidRPr="00D41A91">
          <w:rPr>
            <w:rFonts w:ascii="Times New Roman" w:hAnsi="Times New Roman" w:cs="Times New Roman"/>
            <w:color w:val="0000FF"/>
            <w:sz w:val="18"/>
            <w:szCs w:val="18"/>
          </w:rPr>
          <w:t>Приложение 2</w:t>
        </w:r>
      </w:hyperlink>
      <w:r w:rsidRPr="00D41A91">
        <w:rPr>
          <w:rFonts w:ascii="Times New Roman" w:hAnsi="Times New Roman" w:cs="Times New Roman"/>
          <w:sz w:val="18"/>
          <w:szCs w:val="18"/>
        </w:rPr>
        <w:t xml:space="preserve"> к Стратегии), и достижения целевых индикаторов (показателей) Стратегии (</w:t>
      </w:r>
      <w:hyperlink w:anchor="Par279" w:history="1">
        <w:r w:rsidRPr="00D41A91">
          <w:rPr>
            <w:rFonts w:ascii="Times New Roman" w:hAnsi="Times New Roman" w:cs="Times New Roman"/>
            <w:color w:val="0000FF"/>
            <w:sz w:val="18"/>
            <w:szCs w:val="18"/>
          </w:rPr>
          <w:t>Приложение 1</w:t>
        </w:r>
      </w:hyperlink>
      <w:r w:rsidRPr="00D41A91">
        <w:rPr>
          <w:rFonts w:ascii="Times New Roman" w:hAnsi="Times New Roman" w:cs="Times New Roman"/>
          <w:sz w:val="18"/>
          <w:szCs w:val="18"/>
        </w:rPr>
        <w:t xml:space="preserve"> к Стратегии).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D41A91">
        <w:rPr>
          <w:rFonts w:ascii="Times New Roman" w:hAnsi="Times New Roman" w:cs="Times New Roman"/>
          <w:sz w:val="18"/>
          <w:szCs w:val="18"/>
        </w:rPr>
        <w:t>Минпромторга</w:t>
      </w:r>
      <w:proofErr w:type="spellEnd"/>
      <w:r w:rsidRPr="00D41A91">
        <w:rPr>
          <w:rFonts w:ascii="Times New Roman" w:hAnsi="Times New Roman" w:cs="Times New Roman"/>
          <w:sz w:val="18"/>
          <w:szCs w:val="1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D41A91">
        <w:rPr>
          <w:rFonts w:ascii="Times New Roman" w:hAnsi="Times New Roman" w:cs="Times New Roman"/>
          <w:sz w:val="18"/>
          <w:szCs w:val="18"/>
        </w:rPr>
        <w:t>Минпромторга</w:t>
      </w:r>
      <w:proofErr w:type="spellEnd"/>
      <w:r w:rsidRPr="00D41A91">
        <w:rPr>
          <w:rFonts w:ascii="Times New Roman" w:hAnsi="Times New Roman" w:cs="Times New Roman"/>
          <w:sz w:val="18"/>
          <w:szCs w:val="18"/>
        </w:rPr>
        <w:t xml:space="preserve"> России в сети Интернет.</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 xml:space="preserve">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w:t>
      </w:r>
      <w:proofErr w:type="spellStart"/>
      <w:r w:rsidRPr="00D41A91">
        <w:rPr>
          <w:rFonts w:ascii="Times New Roman" w:hAnsi="Times New Roman" w:cs="Times New Roman"/>
          <w:sz w:val="18"/>
          <w:szCs w:val="18"/>
        </w:rPr>
        <w:t>Минпромторга</w:t>
      </w:r>
      <w:proofErr w:type="spellEnd"/>
      <w:r w:rsidRPr="00D41A91">
        <w:rPr>
          <w:rFonts w:ascii="Times New Roman" w:hAnsi="Times New Roman" w:cs="Times New Roman"/>
          <w:sz w:val="18"/>
          <w:szCs w:val="18"/>
        </w:rPr>
        <w:t xml:space="preserve"> России в информационно-телекоммуникационной сети "Интернет".</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Планом мероприятий.</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t>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w:t>
      </w:r>
    </w:p>
    <w:p w:rsidR="00D41A91" w:rsidRPr="00D41A91" w:rsidRDefault="00D41A91" w:rsidP="00D41A91">
      <w:pPr>
        <w:pStyle w:val="ConsPlusNormal"/>
        <w:ind w:firstLine="540"/>
        <w:jc w:val="both"/>
        <w:rPr>
          <w:rFonts w:ascii="Times New Roman" w:hAnsi="Times New Roman" w:cs="Times New Roman"/>
          <w:sz w:val="18"/>
          <w:szCs w:val="18"/>
        </w:rPr>
      </w:pPr>
      <w:r w:rsidRPr="00D41A91">
        <w:rPr>
          <w:rFonts w:ascii="Times New Roman" w:hAnsi="Times New Roman" w:cs="Times New Roman"/>
          <w:sz w:val="18"/>
          <w:szCs w:val="18"/>
        </w:rPr>
        <w:lastRenderedPageBreak/>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right"/>
        <w:outlineLvl w:val="1"/>
        <w:rPr>
          <w:rFonts w:ascii="Times New Roman" w:hAnsi="Times New Roman" w:cs="Times New Roman"/>
          <w:sz w:val="18"/>
          <w:szCs w:val="18"/>
        </w:rPr>
      </w:pPr>
      <w:r w:rsidRPr="00D41A91">
        <w:rPr>
          <w:rFonts w:ascii="Times New Roman" w:hAnsi="Times New Roman" w:cs="Times New Roman"/>
          <w:sz w:val="18"/>
          <w:szCs w:val="18"/>
        </w:rPr>
        <w:t>Приложение N 1</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к Стратегии развития торговли</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в Российской Федерации</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на 2015 - 2016 годы</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и период до 2020 года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center"/>
        <w:rPr>
          <w:rFonts w:ascii="Times New Roman" w:hAnsi="Times New Roman" w:cs="Times New Roman"/>
          <w:sz w:val="18"/>
          <w:szCs w:val="18"/>
        </w:rPr>
      </w:pPr>
      <w:bookmarkStart w:id="1" w:name="Par279"/>
      <w:bookmarkEnd w:id="1"/>
      <w:r w:rsidRPr="00D41A91">
        <w:rPr>
          <w:rFonts w:ascii="Times New Roman" w:hAnsi="Times New Roman" w:cs="Times New Roman"/>
          <w:sz w:val="18"/>
          <w:szCs w:val="18"/>
        </w:rPr>
        <w:t>ЦЕЛЕВЫЕ ИНДИКАТОРЫ СТРАТЕГИИ</w:t>
      </w:r>
    </w:p>
    <w:p w:rsidR="00D41A91" w:rsidRPr="00D41A91" w:rsidRDefault="00D41A91" w:rsidP="00D41A91">
      <w:pPr>
        <w:pStyle w:val="ConsPlusNormal"/>
        <w:jc w:val="both"/>
        <w:rPr>
          <w:rFonts w:ascii="Times New Roman" w:hAnsi="Times New Roman" w:cs="Times New Roman"/>
          <w:sz w:val="18"/>
          <w:szCs w:val="18"/>
        </w:rPr>
      </w:pPr>
    </w:p>
    <w:tbl>
      <w:tblPr>
        <w:tblW w:w="0" w:type="auto"/>
        <w:tblInd w:w="62" w:type="dxa"/>
        <w:tblLayout w:type="fixed"/>
        <w:tblCellMar>
          <w:top w:w="75" w:type="dxa"/>
          <w:left w:w="0" w:type="dxa"/>
          <w:bottom w:w="75" w:type="dxa"/>
          <w:right w:w="0" w:type="dxa"/>
        </w:tblCellMar>
        <w:tblLook w:val="0000"/>
      </w:tblPr>
      <w:tblGrid>
        <w:gridCol w:w="3978"/>
        <w:gridCol w:w="986"/>
        <w:gridCol w:w="907"/>
        <w:gridCol w:w="907"/>
        <w:gridCol w:w="907"/>
        <w:gridCol w:w="907"/>
        <w:gridCol w:w="964"/>
      </w:tblGrid>
      <w:tr w:rsidR="00D41A91" w:rsidRPr="00D41A91">
        <w:tc>
          <w:tcPr>
            <w:tcW w:w="3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Целевой индикатор (розничная торговля)</w:t>
            </w:r>
          </w:p>
        </w:tc>
        <w:tc>
          <w:tcPr>
            <w:tcW w:w="55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Значения</w:t>
            </w:r>
          </w:p>
        </w:tc>
      </w:tr>
      <w:tr w:rsidR="00D41A91" w:rsidRPr="00D41A91">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both"/>
              <w:rPr>
                <w:rFonts w:ascii="Times New Roman" w:hAnsi="Times New Roman" w:cs="Times New Roman"/>
                <w:sz w:val="18"/>
                <w:szCs w:val="18"/>
              </w:rPr>
            </w:pPr>
          </w:p>
        </w:tc>
        <w:tc>
          <w:tcPr>
            <w:tcW w:w="18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Фактические</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Целевые</w:t>
            </w:r>
          </w:p>
        </w:tc>
      </w:tr>
      <w:tr w:rsidR="00D41A91" w:rsidRPr="00D41A91">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both"/>
              <w:rPr>
                <w:rFonts w:ascii="Times New Roman" w:hAnsi="Times New Roman" w:cs="Times New Roman"/>
                <w:sz w:val="18"/>
                <w:szCs w:val="18"/>
              </w:rPr>
            </w:pP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2013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2016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2018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2020 г.</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Количество хозяйствующих субъектов, фактически действующих в сфере розничной торговли,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rPr>
                <w:rFonts w:ascii="Times New Roman" w:hAnsi="Times New Roman" w:cs="Times New Roman"/>
                <w:sz w:val="18"/>
                <w:szCs w:val="18"/>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rPr>
                <w:rFonts w:ascii="Times New Roman" w:hAnsi="Times New Roman" w:cs="Times New Roman"/>
                <w:sz w:val="18"/>
                <w:szCs w:val="18"/>
              </w:rPr>
            </w:pP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rPr>
                <w:rFonts w:ascii="Times New Roman" w:hAnsi="Times New Roman" w:cs="Times New Roman"/>
                <w:sz w:val="18"/>
                <w:szCs w:val="18"/>
              </w:rPr>
            </w:pP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ind w:left="283"/>
              <w:rPr>
                <w:rFonts w:ascii="Times New Roman" w:hAnsi="Times New Roman" w:cs="Times New Roman"/>
                <w:sz w:val="18"/>
                <w:szCs w:val="18"/>
              </w:rPr>
            </w:pPr>
            <w:r w:rsidRPr="00D41A91">
              <w:rPr>
                <w:rFonts w:ascii="Times New Roman" w:hAnsi="Times New Roman" w:cs="Times New Roman"/>
                <w:sz w:val="18"/>
                <w:szCs w:val="18"/>
              </w:rPr>
              <w:t>организаций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244</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250 - 280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300 - 330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ind w:left="283"/>
              <w:rPr>
                <w:rFonts w:ascii="Times New Roman" w:hAnsi="Times New Roman" w:cs="Times New Roman"/>
                <w:sz w:val="18"/>
                <w:szCs w:val="18"/>
              </w:rPr>
            </w:pPr>
            <w:r w:rsidRPr="00D41A91">
              <w:rPr>
                <w:rFonts w:ascii="Times New Roman" w:hAnsi="Times New Roman" w:cs="Times New Roman"/>
                <w:sz w:val="18"/>
                <w:szCs w:val="18"/>
              </w:rPr>
              <w:t>индивидуальных предпринимателей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1228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1150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1200 - 1300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1300 - 1400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Количество стационарных торговых объектов всех форматов,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697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712</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750 - 800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830 - 900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Обеспеченность населения площадью торговых объектов, дифференцированная по различным форматам, кв. м на 1000 человек</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643</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680 - 740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760 - 820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Количество нестационарных и мобильных торговых объектов,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191</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200 - 230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240 - 260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Количество мест на ярмарках,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396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520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600 - 700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800 - 1000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Количество мест на сельскохозяйственных (в т.ч. кооперативных) и специализированных продовольственных рынках,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118</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120 - 140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150 - 200</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 xml:space="preserve">Доля </w:t>
            </w:r>
            <w:proofErr w:type="spellStart"/>
            <w:r w:rsidRPr="00D41A91">
              <w:rPr>
                <w:rFonts w:ascii="Times New Roman" w:hAnsi="Times New Roman" w:cs="Times New Roman"/>
                <w:sz w:val="18"/>
                <w:szCs w:val="18"/>
              </w:rPr>
              <w:t>интернет-торговли</w:t>
            </w:r>
            <w:proofErr w:type="spellEnd"/>
            <w:r w:rsidRPr="00D41A91">
              <w:rPr>
                <w:rFonts w:ascii="Times New Roman" w:hAnsi="Times New Roman" w:cs="Times New Roman"/>
                <w:sz w:val="18"/>
                <w:szCs w:val="18"/>
              </w:rPr>
              <w:t>, %</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proofErr w:type="spellStart"/>
            <w:r w:rsidRPr="00D41A91">
              <w:rPr>
                <w:rFonts w:ascii="Times New Roman" w:hAnsi="Times New Roman" w:cs="Times New Roman"/>
                <w:sz w:val="18"/>
                <w:szCs w:val="18"/>
              </w:rPr>
              <w:t>н</w:t>
            </w:r>
            <w:proofErr w:type="spellEnd"/>
            <w:r w:rsidRPr="00D41A91">
              <w:rPr>
                <w:rFonts w:ascii="Times New Roman" w:hAnsi="Times New Roman" w:cs="Times New Roman"/>
                <w:sz w:val="18"/>
                <w:szCs w:val="18"/>
              </w:rPr>
              <w:t>/</w:t>
            </w:r>
            <w:proofErr w:type="spellStart"/>
            <w:r w:rsidRPr="00D41A91">
              <w:rPr>
                <w:rFonts w:ascii="Times New Roman" w:hAnsi="Times New Roman" w:cs="Times New Roman"/>
                <w:sz w:val="18"/>
                <w:szCs w:val="18"/>
              </w:rPr>
              <w:t>д</w:t>
            </w:r>
            <w:proofErr w:type="spellEnd"/>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1,5</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2,5 - 3,5</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4 - 6</w:t>
            </w:r>
          </w:p>
        </w:tc>
      </w:tr>
      <w:tr w:rsidR="00D41A91" w:rsidRPr="00D41A91">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Динамика инвестиций в основной капитал в сфере розничной торговли на конец года, в % к предыдущему году</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149,9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&gt; 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&gt; 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&gt; 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&gt; 110</w:t>
            </w:r>
          </w:p>
        </w:tc>
      </w:tr>
    </w:tbl>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right"/>
        <w:outlineLvl w:val="1"/>
        <w:rPr>
          <w:rFonts w:ascii="Times New Roman" w:hAnsi="Times New Roman" w:cs="Times New Roman"/>
          <w:sz w:val="18"/>
          <w:szCs w:val="18"/>
        </w:rPr>
      </w:pPr>
      <w:r w:rsidRPr="00D41A91">
        <w:rPr>
          <w:rFonts w:ascii="Times New Roman" w:hAnsi="Times New Roman" w:cs="Times New Roman"/>
          <w:sz w:val="18"/>
          <w:szCs w:val="18"/>
        </w:rPr>
        <w:t>Приложение N 2</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к Стратегии развития торговли</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в Российской Федерации</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на 2015 - 2016 годы</w:t>
      </w:r>
    </w:p>
    <w:p w:rsidR="00D41A91" w:rsidRPr="00D41A91" w:rsidRDefault="00D41A91" w:rsidP="00D41A91">
      <w:pPr>
        <w:pStyle w:val="ConsPlusNormal"/>
        <w:jc w:val="right"/>
        <w:rPr>
          <w:rFonts w:ascii="Times New Roman" w:hAnsi="Times New Roman" w:cs="Times New Roman"/>
          <w:sz w:val="18"/>
          <w:szCs w:val="18"/>
        </w:rPr>
      </w:pPr>
      <w:r w:rsidRPr="00D41A91">
        <w:rPr>
          <w:rFonts w:ascii="Times New Roman" w:hAnsi="Times New Roman" w:cs="Times New Roman"/>
          <w:sz w:val="18"/>
          <w:szCs w:val="18"/>
        </w:rPr>
        <w:t>и период до 2020 года</w:t>
      </w:r>
    </w:p>
    <w:p w:rsidR="00D41A91" w:rsidRPr="00D41A91" w:rsidRDefault="00D41A91" w:rsidP="00D41A91">
      <w:pPr>
        <w:pStyle w:val="ConsPlusNormal"/>
        <w:jc w:val="both"/>
        <w:rPr>
          <w:rFonts w:ascii="Times New Roman" w:hAnsi="Times New Roman" w:cs="Times New Roman"/>
          <w:sz w:val="18"/>
          <w:szCs w:val="18"/>
        </w:rPr>
      </w:pPr>
    </w:p>
    <w:p w:rsidR="00D41A91" w:rsidRPr="00D41A91" w:rsidRDefault="00D41A91" w:rsidP="00D41A91">
      <w:pPr>
        <w:pStyle w:val="ConsPlusNormal"/>
        <w:jc w:val="center"/>
        <w:rPr>
          <w:rFonts w:ascii="Times New Roman" w:hAnsi="Times New Roman" w:cs="Times New Roman"/>
          <w:sz w:val="18"/>
          <w:szCs w:val="18"/>
        </w:rPr>
      </w:pPr>
      <w:bookmarkStart w:id="2" w:name="Par354"/>
      <w:bookmarkEnd w:id="2"/>
      <w:r w:rsidRPr="00D41A91">
        <w:rPr>
          <w:rFonts w:ascii="Times New Roman" w:hAnsi="Times New Roman" w:cs="Times New Roman"/>
          <w:sz w:val="18"/>
          <w:szCs w:val="18"/>
        </w:rPr>
        <w:t>ПЛАН</w:t>
      </w:r>
    </w:p>
    <w:p w:rsidR="00D41A91" w:rsidRPr="00D41A91" w:rsidRDefault="00D41A91" w:rsidP="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МЕРОПРИЯТИЙ СТРАТЕГИИ РАЗВИТИЯ ТОРГОВЛИ В РОССИЙСКОЙ</w:t>
      </w:r>
    </w:p>
    <w:p w:rsidR="00D41A91" w:rsidRPr="00D41A91" w:rsidRDefault="00D41A91" w:rsidP="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ФЕДЕРАЦИИ НА 2015 - 2016 ГОДЫ И ПЕРИОД ДО 2020 ГОДА</w:t>
      </w:r>
    </w:p>
    <w:p w:rsidR="00D41A91" w:rsidRPr="00D41A91" w:rsidRDefault="00D41A91" w:rsidP="00D41A91">
      <w:pPr>
        <w:pStyle w:val="ConsPlusNormal"/>
        <w:jc w:val="both"/>
        <w:rPr>
          <w:rFonts w:ascii="Times New Roman" w:hAnsi="Times New Roman" w:cs="Times New Roman"/>
          <w:sz w:val="18"/>
          <w:szCs w:val="18"/>
        </w:rPr>
      </w:pPr>
    </w:p>
    <w:tbl>
      <w:tblPr>
        <w:tblW w:w="0" w:type="auto"/>
        <w:tblInd w:w="62" w:type="dxa"/>
        <w:tblLayout w:type="fixed"/>
        <w:tblCellMar>
          <w:top w:w="75" w:type="dxa"/>
          <w:left w:w="0" w:type="dxa"/>
          <w:bottom w:w="75" w:type="dxa"/>
          <w:right w:w="0" w:type="dxa"/>
        </w:tblCellMar>
        <w:tblLook w:val="0000"/>
      </w:tblPr>
      <w:tblGrid>
        <w:gridCol w:w="3231"/>
        <w:gridCol w:w="2041"/>
        <w:gridCol w:w="1304"/>
        <w:gridCol w:w="3118"/>
      </w:tblGrid>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lastRenderedPageBreak/>
              <w:t>Мероприятие, реализуемое в рамках Стратегии развития торговли в Российской Федерации на 2015 - 2016 годы и период до 2020 года (далее - Стратегия)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Итоговый документ, ожидаемый результат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Срок реализации по годам, регулярность (для отдельных мероприятий)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Исполнитель</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2"/>
              <w:rPr>
                <w:rFonts w:ascii="Times New Roman" w:hAnsi="Times New Roman" w:cs="Times New Roman"/>
                <w:sz w:val="18"/>
                <w:szCs w:val="18"/>
              </w:rPr>
            </w:pPr>
            <w:bookmarkStart w:id="3" w:name="Par362"/>
            <w:bookmarkEnd w:id="3"/>
            <w:r w:rsidRPr="00D41A91">
              <w:rPr>
                <w:rFonts w:ascii="Times New Roman" w:hAnsi="Times New Roman" w:cs="Times New Roman"/>
                <w:sz w:val="18"/>
                <w:szCs w:val="18"/>
              </w:rPr>
              <w:t>I. ПЕРВООЧЕРЕДНЫЕ МЕРОПРИЯТИЯ (2014 - 2016 ГОДЫ)</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Повышение эффективности и сбалансированности регулирования отношений в области торговой деятельности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 (союзы), представляющие интересы хозяйствующих в сфере торговли субъектов (далее - 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Создание условий для развития инфраструктуры торговли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мониторинга таких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4. Нормативное и методическое обеспечение проекта по созданию современных оптовых продовольственных рынков (</w:t>
            </w:r>
            <w:proofErr w:type="spellStart"/>
            <w:r w:rsidRPr="00D41A91">
              <w:rPr>
                <w:rFonts w:ascii="Times New Roman" w:hAnsi="Times New Roman" w:cs="Times New Roman"/>
                <w:sz w:val="18"/>
                <w:szCs w:val="18"/>
              </w:rPr>
              <w:t>оптово-логистических</w:t>
            </w:r>
            <w:proofErr w:type="spellEnd"/>
            <w:r w:rsidRPr="00D41A91">
              <w:rPr>
                <w:rFonts w:ascii="Times New Roman" w:hAnsi="Times New Roman" w:cs="Times New Roman"/>
                <w:sz w:val="18"/>
                <w:szCs w:val="18"/>
              </w:rPr>
              <w:t>, оптово-распределительных терминалов или центров)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Минсельхоз России</w:t>
            </w:r>
          </w:p>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5. Анализ целесообразности и последствий введения администрирования размещения, строительства (реконструкции, начала эксплуатации) крупных торговых объектов и торговых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данные</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ФАС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lastRenderedPageBreak/>
              <w:t>Обеспечение условий для развития конкуренции в отрасли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 xml:space="preserve">6. Мониторинг практики применения Федерального </w:t>
            </w:r>
            <w:hyperlink r:id="rId11" w:history="1">
              <w:r w:rsidRPr="00D41A91">
                <w:rPr>
                  <w:rFonts w:ascii="Times New Roman" w:hAnsi="Times New Roman" w:cs="Times New Roman"/>
                  <w:color w:val="0000FF"/>
                  <w:sz w:val="18"/>
                  <w:szCs w:val="18"/>
                </w:rPr>
                <w:t>закона</w:t>
              </w:r>
            </w:hyperlink>
            <w:r w:rsidRPr="00D41A91">
              <w:rPr>
                <w:rFonts w:ascii="Times New Roman" w:hAnsi="Times New Roman" w:cs="Times New Roman"/>
                <w:sz w:val="18"/>
                <w:szCs w:val="18"/>
              </w:rPr>
              <w:t xml:space="preserve"> от 28.12.2009 N 381-ФЗ "Об основах государственного регулирования торговой деятельности в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данные</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1 раз в год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ФАС России</w:t>
            </w:r>
          </w:p>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7. Анализ развития саморегулирования в отрасли и принятие мер по его стимулированию</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данные</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ФАС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8. Разработка системы адресной продовольственной помощи нуждающимся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Минсельхоз России</w:t>
            </w:r>
          </w:p>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Минтруд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 xml:space="preserve">9. Организация отраслевых торговых мероприятий, проводимых или курируемых </w:t>
            </w:r>
            <w:proofErr w:type="spellStart"/>
            <w:r w:rsidRPr="00D41A91">
              <w:rPr>
                <w:rFonts w:ascii="Times New Roman" w:hAnsi="Times New Roman" w:cs="Times New Roman"/>
                <w:sz w:val="18"/>
                <w:szCs w:val="18"/>
              </w:rPr>
              <w:t>Минпромторгом</w:t>
            </w:r>
            <w:proofErr w:type="spellEnd"/>
            <w:r w:rsidRPr="00D41A91">
              <w:rPr>
                <w:rFonts w:ascii="Times New Roman" w:hAnsi="Times New Roman" w:cs="Times New Roman"/>
                <w:sz w:val="18"/>
                <w:szCs w:val="18"/>
              </w:rPr>
              <w:t xml:space="preserve"> России (ярмарок, выставок-продаж, форумов, круглых столов и иных мероприятий)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Отчеты о мероприятиях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Методические рекомендации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Повышение привлекательности осуществления торговой деятельности в малочисленных и отдаленных населенных пунктах</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Методические рекомендации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Поддержка развития малого и среднего бизнеса в сфере торговли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12.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 сельскохозяйственного производства и производства товаров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материалы</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Минсельхоз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Модернизация Системы информационного обеспечения торговли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lastRenderedPageBreak/>
              <w:t>14. Актуализация Системы информационного обеспечения торговли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Программный продукт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Минэкономразвития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3"/>
              <w:rPr>
                <w:rFonts w:ascii="Times New Roman" w:hAnsi="Times New Roman" w:cs="Times New Roman"/>
                <w:sz w:val="18"/>
                <w:szCs w:val="18"/>
              </w:rPr>
            </w:pPr>
            <w:r w:rsidRPr="00D41A91">
              <w:rPr>
                <w:rFonts w:ascii="Times New Roman" w:hAnsi="Times New Roman" w:cs="Times New Roman"/>
                <w:sz w:val="18"/>
                <w:szCs w:val="18"/>
              </w:rPr>
              <w:t>Взаимодействие с органами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16. Методическое и консультационное обеспечение работы органов государственной власти субъектов Российской Федерации по реализации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Методические рекомендации Стратегические сессии и форумы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17. Контроль за выполнением установленных целевых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18. Мониторинг развития и состояния розничной торговли, в том числе по форматам и по сегментам рынка в субъектах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19. Анализ жалоб и обращений жителей и субъектов предпринимательской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Российской Федерации</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2"/>
              <w:rPr>
                <w:rFonts w:ascii="Times New Roman" w:hAnsi="Times New Roman" w:cs="Times New Roman"/>
                <w:sz w:val="18"/>
                <w:szCs w:val="18"/>
              </w:rPr>
            </w:pPr>
            <w:r w:rsidRPr="00D41A91">
              <w:rPr>
                <w:rFonts w:ascii="Times New Roman" w:hAnsi="Times New Roman" w:cs="Times New Roman"/>
                <w:sz w:val="18"/>
                <w:szCs w:val="18"/>
              </w:rPr>
              <w:t>II. ОРГАНИЗАЦИОННО-КОНТРОЛЬНЫЕ МЕРОПРИЯТИЯ (2016 ГОД)</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(модификаций их структурных элементов)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Доклад в Аппарат Правительства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 xml:space="preserve">Исполнители мероприятий, предусмотренных </w:t>
            </w:r>
            <w:hyperlink w:anchor="Par362" w:history="1">
              <w:r w:rsidRPr="00D41A91">
                <w:rPr>
                  <w:rFonts w:ascii="Times New Roman" w:hAnsi="Times New Roman" w:cs="Times New Roman"/>
                  <w:color w:val="0000FF"/>
                  <w:sz w:val="18"/>
                  <w:szCs w:val="18"/>
                </w:rPr>
                <w:t>разделом I</w:t>
              </w:r>
            </w:hyperlink>
            <w:r w:rsidRPr="00D41A91">
              <w:rPr>
                <w:rFonts w:ascii="Times New Roman" w:hAnsi="Times New Roman" w:cs="Times New Roman"/>
                <w:sz w:val="18"/>
                <w:szCs w:val="18"/>
              </w:rPr>
              <w:t xml:space="preserve"> настоящего Плана</w:t>
            </w:r>
          </w:p>
        </w:tc>
      </w:tr>
      <w:tr w:rsidR="00D41A91" w:rsidRPr="00D41A91">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outlineLvl w:val="2"/>
              <w:rPr>
                <w:rFonts w:ascii="Times New Roman" w:hAnsi="Times New Roman" w:cs="Times New Roman"/>
                <w:sz w:val="18"/>
                <w:szCs w:val="18"/>
              </w:rPr>
            </w:pPr>
            <w:r w:rsidRPr="00D41A91">
              <w:rPr>
                <w:rFonts w:ascii="Times New Roman" w:hAnsi="Times New Roman" w:cs="Times New Roman"/>
                <w:sz w:val="18"/>
                <w:szCs w:val="18"/>
              </w:rPr>
              <w:t>III. УТОЧНЕННЫЕ И ПЕРСПЕКТИВНЫЕ МЕРОПРИЯТИЯ (2017 - 2020 ГОДЫ)</w:t>
            </w:r>
          </w:p>
        </w:tc>
      </w:tr>
      <w:tr w:rsidR="00D41A91" w:rsidRPr="00D41A9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21. Мероприятия, предусмотренные по итогам корректировки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Проекты нормативных правовых актов.</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Методические документы.</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Аналитические данные.</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Программные продукты.</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Технические задания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jc w:val="center"/>
              <w:rPr>
                <w:rFonts w:ascii="Times New Roman" w:hAnsi="Times New Roman" w:cs="Times New Roman"/>
                <w:sz w:val="18"/>
                <w:szCs w:val="18"/>
              </w:rPr>
            </w:pPr>
            <w:r w:rsidRPr="00D41A91">
              <w:rPr>
                <w:rFonts w:ascii="Times New Roman" w:hAnsi="Times New Roman" w:cs="Times New Roman"/>
                <w:sz w:val="18"/>
                <w:szCs w:val="18"/>
              </w:rPr>
              <w:t>2017 - 2020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A91" w:rsidRPr="00D41A91" w:rsidRDefault="00D41A91">
            <w:pPr>
              <w:pStyle w:val="ConsPlusNormal"/>
              <w:rPr>
                <w:rFonts w:ascii="Times New Roman" w:hAnsi="Times New Roman" w:cs="Times New Roman"/>
                <w:sz w:val="18"/>
                <w:szCs w:val="18"/>
              </w:rPr>
            </w:pPr>
            <w:proofErr w:type="spellStart"/>
            <w:r w:rsidRPr="00D41A91">
              <w:rPr>
                <w:rFonts w:ascii="Times New Roman" w:hAnsi="Times New Roman" w:cs="Times New Roman"/>
                <w:sz w:val="18"/>
                <w:szCs w:val="18"/>
              </w:rPr>
              <w:t>Минпромторг</w:t>
            </w:r>
            <w:proofErr w:type="spellEnd"/>
            <w:r w:rsidRPr="00D41A91">
              <w:rPr>
                <w:rFonts w:ascii="Times New Roman" w:hAnsi="Times New Roman" w:cs="Times New Roman"/>
                <w:sz w:val="18"/>
                <w:szCs w:val="18"/>
              </w:rPr>
              <w:t xml:space="preserve"> России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Органы государственной власти субъектов Российской Федерации</w:t>
            </w:r>
          </w:p>
          <w:p w:rsidR="00D41A91" w:rsidRPr="00D41A91" w:rsidRDefault="00D41A91">
            <w:pPr>
              <w:pStyle w:val="ConsPlusNormal"/>
              <w:rPr>
                <w:rFonts w:ascii="Times New Roman" w:hAnsi="Times New Roman" w:cs="Times New Roman"/>
                <w:sz w:val="18"/>
                <w:szCs w:val="18"/>
              </w:rPr>
            </w:pPr>
            <w:r w:rsidRPr="00D41A91">
              <w:rPr>
                <w:rFonts w:ascii="Times New Roman" w:hAnsi="Times New Roman" w:cs="Times New Roman"/>
                <w:sz w:val="18"/>
                <w:szCs w:val="18"/>
              </w:rPr>
              <w:t>Заинтересованные ассоциации</w:t>
            </w:r>
          </w:p>
        </w:tc>
      </w:tr>
    </w:tbl>
    <w:p w:rsidR="00D41A91" w:rsidRDefault="00D41A91" w:rsidP="00D41A91">
      <w:pPr>
        <w:pStyle w:val="ConsPlusNormal"/>
        <w:jc w:val="both"/>
      </w:pPr>
    </w:p>
    <w:p w:rsidR="00D41A91" w:rsidRDefault="00D41A91" w:rsidP="00D41A91">
      <w:pPr>
        <w:pStyle w:val="ConsPlusNormal"/>
        <w:jc w:val="both"/>
      </w:pPr>
    </w:p>
    <w:p w:rsidR="00951312" w:rsidRDefault="00951312"/>
    <w:sectPr w:rsidR="00951312" w:rsidSect="00852AF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41A91"/>
    <w:rsid w:val="00520816"/>
    <w:rsid w:val="00951312"/>
    <w:rsid w:val="00D14DB5"/>
    <w:rsid w:val="00D4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9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2363651EF592A96418D5F277C2F3CC8EFC8B3E18A98B5C08ADF8FC4C63D0BC8F5B99D927A18CCsBW9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652363651EF592A96418D5F277C2F3CC8EEC2BCE58F98B5C08ADF8FC4sCW6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52363651EF592A96418D5F277C2F3CC8EECEB6E78E98B5C08ADF8FC4C63D0BC8F5B99D927A1ACCsBW1C" TargetMode="External"/><Relationship Id="rId11" Type="http://schemas.openxmlformats.org/officeDocument/2006/relationships/hyperlink" Target="consultantplus://offline/ref=D652363651EF592A96418D5F277C2F3CC8EFC8B3E18A98B5C08ADF8FC4sCW6C" TargetMode="External"/><Relationship Id="rId5" Type="http://schemas.openxmlformats.org/officeDocument/2006/relationships/hyperlink" Target="consultantplus://offline/ref=D652363651EF592A96418D5F277C2F3CC8E8CEB2E78898B5C08ADF8FC4sCW6C" TargetMode="External"/><Relationship Id="rId10" Type="http://schemas.openxmlformats.org/officeDocument/2006/relationships/hyperlink" Target="consultantplus://offline/ref=D652363651EF592A96418D5F277C2F3CC8EFC8B3E18A98B5C08ADF8FC4sCW6C" TargetMode="External"/><Relationship Id="rId4" Type="http://schemas.openxmlformats.org/officeDocument/2006/relationships/hyperlink" Target="consultantplus://offline/ref=D652363651EF592A96418D5F277C2F3CC8E9C9BDED8C98B5C08ADF8FC4sCW6C" TargetMode="External"/><Relationship Id="rId9" Type="http://schemas.openxmlformats.org/officeDocument/2006/relationships/hyperlink" Target="consultantplus://offline/ref=D652363651EF592A96418D5F277C2F3CC8EAC2B2E28F98B5C08ADF8FC4sCW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10135</Words>
  <Characters>57771</Characters>
  <Application>Microsoft Office Word</Application>
  <DocSecurity>0</DocSecurity>
  <Lines>481</Lines>
  <Paragraphs>135</Paragraphs>
  <ScaleCrop>false</ScaleCrop>
  <Company>SPecialiST RePack</Company>
  <LinksUpToDate>false</LinksUpToDate>
  <CharactersWithSpaces>67771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SNN</cp:lastModifiedBy>
  <cp:revision>3</cp:revision>
  <dcterms:created xsi:type="dcterms:W3CDTF">2015-05-15T02:23:00Z</dcterms:created>
  <dcterms:modified xsi:type="dcterms:W3CDTF">2015-05-15T02:24:00Z</dcterms:modified>
</cp:coreProperties>
</file>