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29" w:rsidRDefault="00ED69CF">
      <w:pPr>
        <w:pStyle w:val="20"/>
        <w:framePr w:w="9754" w:h="15227" w:hRule="exact" w:wrap="around" w:vAnchor="page" w:hAnchor="page" w:x="1093" w:y="824"/>
        <w:shd w:val="clear" w:color="auto" w:fill="auto"/>
        <w:spacing w:after="249" w:line="230" w:lineRule="exact"/>
        <w:ind w:right="20"/>
      </w:pPr>
      <w:r>
        <w:t>Административная ответственность за коррупционное правонарушение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>
        <w:t>КоАП</w:t>
      </w:r>
      <w:proofErr w:type="spellEnd"/>
      <w:r>
        <w:t xml:space="preserve"> РФ за незаконное вознаграждение от имени юридического лица (коммерческий </w:t>
      </w:r>
      <w:r>
        <w:t>подкуп).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proofErr w:type="gramStart"/>
      <w:r>
        <w:t xml:space="preserve">Минимальный размер административного штрафа по ч.1 ст. 19.28 </w:t>
      </w:r>
      <w:proofErr w:type="spellStart"/>
      <w:r>
        <w:t>КоАП</w:t>
      </w:r>
      <w:proofErr w:type="spellEnd"/>
      <w:r>
        <w:t xml:space="preserve"> РФ 1 млн. рублей, по ч.2 ст. 19.28 </w:t>
      </w:r>
      <w:proofErr w:type="spellStart"/>
      <w:r>
        <w:t>КоАП</w:t>
      </w:r>
      <w:proofErr w:type="spellEnd"/>
      <w:r>
        <w:t xml:space="preserve"> РФ - 20 млн. рублей, 100 млн. рублей.</w:t>
      </w:r>
      <w:proofErr w:type="gramEnd"/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 xml:space="preserve">Возбуждение административного дела по ст. 19.28 </w:t>
      </w:r>
      <w:proofErr w:type="spellStart"/>
      <w:r>
        <w:t>КоАП</w:t>
      </w:r>
      <w:proofErr w:type="spellEnd"/>
      <w:r>
        <w:t xml:space="preserve"> РФ находится в исключительной компетенции прокурор</w:t>
      </w:r>
      <w:r>
        <w:t>а.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Срок давности привлечения к административной ответственности составляет шесть лет.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Для организаций, привлеченны</w:t>
      </w:r>
      <w:r>
        <w:t xml:space="preserve">х к административной ответственности по статье 19.28 </w:t>
      </w:r>
      <w:proofErr w:type="spellStart"/>
      <w:r>
        <w:t>КоАП</w:t>
      </w:r>
      <w:proofErr w:type="spellEnd"/>
      <w:r>
        <w:t xml:space="preserve"> РФ, устанавливается двухлетний запрет на участие в закупках для государственных и муниципальных нужд.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Сведения о факте привлечения организации к ответственности вносятся в Реестр юридических лиц, пр</w:t>
      </w:r>
      <w:r>
        <w:t xml:space="preserve">ивлеченных к административной ответственности по статье 19.28 </w:t>
      </w:r>
      <w:proofErr w:type="spellStart"/>
      <w:r>
        <w:t>КоАП</w:t>
      </w:r>
      <w:proofErr w:type="spellEnd"/>
      <w: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proofErr w:type="gramStart"/>
      <w:r>
        <w:t xml:space="preserve">Вместе с тем с августа 2018 года в статью 19.28 </w:t>
      </w:r>
      <w:proofErr w:type="spellStart"/>
      <w:r>
        <w:t>КоАП</w:t>
      </w:r>
      <w:proofErr w:type="spellEnd"/>
      <w:r>
        <w:t xml:space="preserve"> РФ</w:t>
      </w:r>
      <w:r>
        <w:t xml:space="preserve">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</w:t>
      </w:r>
      <w:r>
        <w:t>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Изменения направлены на своевременное информирование хозяйствующими суб</w:t>
      </w:r>
      <w:r>
        <w:t>ъектами правоохранительных органов о фактах преступной деятельности должностных лиц.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 w:after="236"/>
        <w:ind w:left="80" w:right="80" w:firstLine="680"/>
      </w:pPr>
      <w: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</w:t>
      </w:r>
      <w:r>
        <w:t>акты корпоративной коррупции.</w:t>
      </w:r>
    </w:p>
    <w:p w:rsidR="00315429" w:rsidRDefault="00ED69CF">
      <w:pPr>
        <w:pStyle w:val="20"/>
        <w:framePr w:w="9754" w:h="15227" w:hRule="exact" w:wrap="around" w:vAnchor="page" w:hAnchor="page" w:x="1093" w:y="824"/>
        <w:shd w:val="clear" w:color="auto" w:fill="auto"/>
        <w:spacing w:after="244" w:line="302" w:lineRule="exact"/>
        <w:ind w:right="20"/>
      </w:pPr>
      <w:r>
        <w:t>Внесены изменения в отдельные законодательные акты Российской Федерации в целях совершенствования законодательства о противодействии коррупции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firstLine="680"/>
      </w:pPr>
      <w:r>
        <w:t xml:space="preserve">Президентом Российской Федерации подписан Федеральный закон </w:t>
      </w:r>
      <w:proofErr w:type="gramStart"/>
      <w:r>
        <w:t>от</w:t>
      </w:r>
      <w:proofErr w:type="gramEnd"/>
    </w:p>
    <w:p w:rsidR="00315429" w:rsidRDefault="00ED69CF">
      <w:pPr>
        <w:pStyle w:val="1"/>
        <w:framePr w:w="9754" w:h="15227" w:hRule="exact" w:wrap="around" w:vAnchor="page" w:hAnchor="page" w:x="1093" w:y="824"/>
        <w:numPr>
          <w:ilvl w:val="0"/>
          <w:numId w:val="1"/>
        </w:numPr>
        <w:shd w:val="clear" w:color="auto" w:fill="auto"/>
        <w:tabs>
          <w:tab w:val="left" w:pos="1362"/>
        </w:tabs>
        <w:spacing w:before="0"/>
        <w:ind w:left="80" w:right="80" w:firstLine="100"/>
      </w:pPr>
      <w:r>
        <w:t>№ 432-ФЭ «О внесении</w:t>
      </w:r>
      <w:r>
        <w:t xml:space="preserve">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(далее - Федеральный закон). Начало действия Федерального закона - 27.12.2019.</w:t>
      </w:r>
    </w:p>
    <w:p w:rsidR="00315429" w:rsidRDefault="00ED69CF">
      <w:pPr>
        <w:pStyle w:val="1"/>
        <w:framePr w:w="9754" w:h="15227" w:hRule="exact" w:wrap="around" w:vAnchor="page" w:hAnchor="page" w:x="1093" w:y="824"/>
        <w:shd w:val="clear" w:color="auto" w:fill="auto"/>
        <w:spacing w:before="0"/>
        <w:ind w:left="80" w:right="80" w:firstLine="680"/>
      </w:pPr>
      <w:r>
        <w:t>Настоящим федеральн</w:t>
      </w:r>
      <w:r>
        <w:t xml:space="preserve">ым законом подвергнуты изменениям двенадцать федеральных законов: </w:t>
      </w:r>
      <w:proofErr w:type="gramStart"/>
      <w:r>
        <w:t>Федеральный закон от 17.01.1992 № 2202-1 «О прокуратуре Российской Федерации», Федеральный закон от 08.05.1994 № З-ФЗ «О статусе члена Совета Федерации и статусе депутата Государственной Дум</w:t>
      </w:r>
      <w:r>
        <w:t>ы Федерального Собрания Российской Федерации», Федеральный закон от 21.07.1997 № 114-ФЗ «О службе в таможенных органах Российской Федерации», Федеральный закон от 28.03.1998 № 53-Ф3 «О воинской обязанности и военной службе».</w:t>
      </w:r>
      <w:proofErr w:type="gramEnd"/>
      <w:r>
        <w:t xml:space="preserve"> Федеральный закон от 06.10.2003</w:t>
      </w:r>
      <w:r>
        <w:t xml:space="preserve"> № 131-ФЭ «Об общих принципах организации местного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/>
      </w:pPr>
      <w:proofErr w:type="gramStart"/>
      <w:r>
        <w:lastRenderedPageBreak/>
        <w:t>самоуправления в Российской Федерации», Федеральный закон от 27.07.2004 № 79- ФЗ «О государственной гражданской службе Российской Федерации», Федеральный закон от 02.03.2007 № 25-ФЗ «</w:t>
      </w:r>
      <w:r>
        <w:t xml:space="preserve">О муниципальной службе в Российской Федерации», Федеральный закон от 25.12.2008 № 273-ФЭ «О противодействии коррупции», Федеральный закон от 28.12.2010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>403-ФЗ «О Следственном комитете Российской Федерации», Федеральный закон от 30.112011 №342-Ф3 «О служб</w:t>
      </w:r>
      <w:r>
        <w:t>е в органах внутренних дел Российской Федерации и</w:t>
      </w:r>
      <w:proofErr w:type="gramEnd"/>
      <w:r>
        <w:t xml:space="preserve"> </w:t>
      </w:r>
      <w:proofErr w:type="gramStart"/>
      <w:r>
        <w:t>внесении изменений в отдельные законодательные акты Российской Федерации», Федеральный закон от 23.05.2016 № 141-ФЗ «О службе в федеральной противопожарной службе Государственной противопожарной службы и вн</w:t>
      </w:r>
      <w:r>
        <w:t>есении изменений в отдельные законодательные акты Российской Федерации», Федеральный закон от 19.07.2018 № 197-ФЗ «О службе в уголовно-исполнительной системе Российской Федерации и о внесении изменений в Закон Российской Федерации «Об учреждениях и органах</w:t>
      </w:r>
      <w:r>
        <w:t>, исполняющих уголовные наказания в виде</w:t>
      </w:r>
      <w:proofErr w:type="gramEnd"/>
      <w:r>
        <w:t xml:space="preserve"> лишения свободы».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 w:line="302" w:lineRule="exact"/>
        <w:ind w:left="80" w:right="80" w:firstLine="720"/>
      </w:pPr>
      <w:r>
        <w:t>В соответствии с изменениями госслужащим разрешено участвовать на безвозмездной основе в органах управления «дочерних» организаций госкомпаний.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 w:line="293" w:lineRule="exact"/>
        <w:ind w:left="80" w:right="80" w:firstLine="720"/>
      </w:pPr>
      <w:r>
        <w:t xml:space="preserve">Речь идет о коммерческих организациях, более 50 </w:t>
      </w:r>
      <w:r>
        <w:t>процентов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r>
        <w:t xml:space="preserve">Уточняются правила об участии лиц, на которых распространяются </w:t>
      </w:r>
      <w:proofErr w:type="spellStart"/>
      <w:r>
        <w:t>антикоррупционные</w:t>
      </w:r>
      <w:proofErr w:type="spellEnd"/>
      <w:r>
        <w:t xml:space="preserve"> требования, в управлении коммерч</w:t>
      </w:r>
      <w:r>
        <w:t>ескими и некоммерческими организациями.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 w:after="540"/>
        <w:ind w:left="80" w:right="80" w:firstLine="720"/>
      </w:pPr>
      <w:r>
        <w:t>Кроме того,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</w:t>
      </w:r>
      <w:r>
        <w:t>ке, другие случаи отсутствия на службе по уважительным причинам, а также время производства по уголовному делу.</w:t>
      </w:r>
    </w:p>
    <w:p w:rsidR="00315429" w:rsidRDefault="00ED69CF">
      <w:pPr>
        <w:pStyle w:val="22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bookmarkStart w:id="0" w:name="bookmark0"/>
      <w:r>
        <w:t>Правовые последствия при заключении государственных и муниципальных контрактов при наличии конфликта интересов</w:t>
      </w:r>
      <w:bookmarkEnd w:id="0"/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r>
        <w:t>Обеспечение добросовестности, отк</w:t>
      </w:r>
      <w:r>
        <w:t xml:space="preserve">рытости, добросовестной конкуренции и </w:t>
      </w:r>
      <w:proofErr w:type="spellStart"/>
      <w:r>
        <w:t>объекгивности</w:t>
      </w:r>
      <w:proofErr w:type="spellEnd"/>
      <w:r>
        <w:t xml:space="preserve"> при осуществлении закупок товаров, работ, услуг для обеспечения государственных или муниципальных нужд в соответствии со ст. 7 Федерального закона от 25.12.2008 № 273-Ф3 «О противодействии коррупции» </w:t>
      </w:r>
      <w:proofErr w:type="gramStart"/>
      <w:r>
        <w:t>явля</w:t>
      </w:r>
      <w:r>
        <w:t>ется одним из основных направлений деятельности государственных органов по повышению эффективности противодействия коррупции являются</w:t>
      </w:r>
      <w:proofErr w:type="gramEnd"/>
      <w:r>
        <w:t>: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r>
        <w:t>Закупки для государственных и муниципальных нужд являются одной из сфер экономики, подверженных коррупционным проявлениям</w:t>
      </w:r>
      <w:r>
        <w:t xml:space="preserve">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r>
        <w:t>В целях противодействия таким проявлениям Федеральным законом от 05.04.2013 № 44-ФЗ «О контрактной системе в</w:t>
      </w:r>
      <w:r>
        <w:t xml:space="preserve"> сфере закупок товаров, работ, услуг для обеспечения государственных и муниципальных нужд» (далее - Закон № 44-ФЗ) к участникам закупки установлены единые требования.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/>
      </w:pPr>
      <w:r>
        <w:t>Одним из таких обязательных требований является отсутствие конфликта интересов между учас</w:t>
      </w:r>
      <w:r>
        <w:t>тниками закупки и заказчиком (п. 9ч. 1ст. 31 Закона № 44-ФЗ).</w:t>
      </w:r>
    </w:p>
    <w:p w:rsidR="00315429" w:rsidRDefault="00ED69CF">
      <w:pPr>
        <w:pStyle w:val="1"/>
        <w:framePr w:w="9758" w:h="15269" w:hRule="exact" w:wrap="around" w:vAnchor="page" w:hAnchor="page" w:x="1091" w:y="783"/>
        <w:shd w:val="clear" w:color="auto" w:fill="auto"/>
        <w:spacing w:before="0"/>
        <w:ind w:left="80" w:right="80" w:firstLine="720"/>
      </w:pPr>
      <w:r>
        <w:t>Понятие конфликта интересов дано в п. 9ч. 1 ст. 31 Закона. Под ним подразумеваются: 1) нахождение в браке руководителя заказчика, руководителя контрактной службы (контрактного управляющего) либо</w:t>
      </w:r>
      <w:r>
        <w:t xml:space="preserve"> члена закупочной комиссии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/>
      </w:pPr>
      <w:r>
        <w:lastRenderedPageBreak/>
        <w:t xml:space="preserve">заказчика с </w:t>
      </w:r>
      <w:proofErr w:type="spellStart"/>
      <w:r>
        <w:t>аффилированными</w:t>
      </w:r>
      <w:proofErr w:type="spellEnd"/>
      <w:r>
        <w:t xml:space="preserve">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- </w:t>
      </w:r>
      <w:r>
        <w:t>физическим лицом; 2) близкое родство (родители и дети, дедушки, бабушки и внуки; родные братья и сестры, усыновители и усыновленные) указанных лиц.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/>
      </w:pPr>
      <w:r>
        <w:t>Следует отметить, что требование об отсутствии конфликта интересов, так же как и остальные требования, распр</w:t>
      </w:r>
      <w:r>
        <w:t>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r>
        <w:t>Под близкими родственниками в Законе о контрактной системе понимается - родственники п</w:t>
      </w:r>
      <w:r>
        <w:t xml:space="preserve">о прямой восходящей и нисходящей линии (родители и дети, дедушки, бабушки и внуки), полнородные и </w:t>
      </w:r>
      <w:proofErr w:type="spellStart"/>
      <w:r>
        <w:t>неполнородные</w:t>
      </w:r>
      <w:proofErr w:type="spellEnd"/>
      <w:r>
        <w:t xml:space="preserve"> (имеющие </w:t>
      </w:r>
      <w:proofErr w:type="gramStart"/>
      <w:r>
        <w:t>общих</w:t>
      </w:r>
      <w:proofErr w:type="gramEnd"/>
      <w:r>
        <w:t xml:space="preserve"> отца или мать) братья и сестры.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r>
        <w:t>При обнаружении конфликта интересов заказчик обязан отказать в заключени</w:t>
      </w:r>
      <w:proofErr w:type="gramStart"/>
      <w:r>
        <w:t>и</w:t>
      </w:r>
      <w:proofErr w:type="gramEnd"/>
      <w:r>
        <w:t xml:space="preserve"> контракта.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/>
      </w:pPr>
      <w:r>
        <w:t>Контракт, за</w:t>
      </w:r>
      <w:r>
        <w:t>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 w:after="294"/>
        <w:ind w:left="80" w:right="80"/>
      </w:pPr>
      <w:r>
        <w:t>Соблюдение требований законодательства в указанной части при осуществлени</w:t>
      </w:r>
      <w:r>
        <w:t>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315429" w:rsidRDefault="00ED69CF">
      <w:pPr>
        <w:pStyle w:val="22"/>
        <w:framePr w:w="9768" w:h="15269" w:hRule="exact" w:wrap="around" w:vAnchor="page" w:hAnchor="page" w:x="1086" w:y="783"/>
        <w:shd w:val="clear" w:color="auto" w:fill="auto"/>
        <w:spacing w:before="0" w:after="263" w:line="230" w:lineRule="exact"/>
        <w:ind w:right="20"/>
        <w:jc w:val="center"/>
      </w:pPr>
      <w:bookmarkStart w:id="1" w:name="bookmark1"/>
      <w:r>
        <w:t>Новы</w:t>
      </w:r>
      <w:r>
        <w:t>й порядок обследования условий жизни несовершеннолетних</w:t>
      </w:r>
      <w:bookmarkEnd w:id="1"/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proofErr w:type="gramStart"/>
      <w:r>
        <w:t>В целях повышения эффективности принимаемых мер по защите прав детей в настоящее время действует приказ Министерства просвещения РФ № 4 от 10.01.2019, предусматривающий новый порядок обследования усло</w:t>
      </w:r>
      <w:r>
        <w:t>вий жизни несовершеннолетних граждан и их семей с целью выявления обстоятельств, свидетельствующих об отсутствии родительского попечения над несовершеннолетним и принятия мер по защите прав и интересов детей.</w:t>
      </w:r>
      <w:proofErr w:type="gramEnd"/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r>
        <w:t>Обследование проводится органом опеки и попечит</w:t>
      </w:r>
      <w:r>
        <w:t>ельства либо образовательной организацией, медицинской организацией, организацией или иной организацией, в том числе организацией для детей-сирот и детей, оставшихся без попечения родителей.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proofErr w:type="gramStart"/>
      <w:r>
        <w:t>Основанием для проведения обследования служат устные и письменные</w:t>
      </w:r>
      <w:r>
        <w:t xml:space="preserve"> обращения граждан и юридических лиц, содержащие сведения о детях, оставшихся без попечения родителей, в частности, в случаях болезни родителей, их длительного отсутствия, уклонения родителей от воспитания детей или от защиты их интересов, в том числе при </w:t>
      </w:r>
      <w:r>
        <w:t>отказе родителей взять своих детей из образовательных организаций, медицинских организаций, организаций, оказывающих социальные услуги, при создании</w:t>
      </w:r>
      <w:proofErr w:type="gramEnd"/>
      <w:r>
        <w:t xml:space="preserve"> действиями или бездействием родителей условий, представляющих угрозу жизни или здоровью детей либо препятст</w:t>
      </w:r>
      <w:r>
        <w:t>вующих их нормальному воспитанию и развитию.</w:t>
      </w:r>
    </w:p>
    <w:p w:rsidR="00315429" w:rsidRDefault="00ED69CF">
      <w:pPr>
        <w:pStyle w:val="1"/>
        <w:framePr w:w="9768" w:h="15269" w:hRule="exact" w:wrap="around" w:vAnchor="page" w:hAnchor="page" w:x="1086" w:y="783"/>
        <w:shd w:val="clear" w:color="auto" w:fill="auto"/>
        <w:spacing w:before="0"/>
        <w:ind w:left="80" w:right="80" w:firstLine="700"/>
      </w:pPr>
      <w:proofErr w:type="gramStart"/>
      <w:r>
        <w:t>В ходе обследования подлежат: состояние здоровья ребенка, его внешний вид; удовлетворение базовых потребностей ребенка в пище, жилье, гигиене, обеспечении одеждой, предоставлении медицинской помощи; режим дня ре</w:t>
      </w:r>
      <w:r>
        <w:t>бенка, режим сна, их соответствие возрасту; социальная адаптация (наличие навыков общения с окружающими, навыков самообслуживания по возрасту'); получаемое ребенком воспитание и образование; состав семьи, кто фактически осуществляет уход и надзор</w:t>
      </w:r>
      <w:proofErr w:type="gramEnd"/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/>
        <w:jc w:val="left"/>
      </w:pPr>
      <w:r>
        <w:lastRenderedPageBreak/>
        <w:t xml:space="preserve">за ребенком, наличие близких родственников ребенка, а также отношения, сложившиеся между членами семьи, их характер и влияние на ребенка, структура доходов семьи; жилищно-бытовые условия, в которых проживает ребенок; обеспечение </w:t>
      </w:r>
      <w:r>
        <w:t>безопасности ребенка в соответствии с его возрастом; наличие обстоятельств, которые создают угрозу жизни и здоровью ребенка, его физическому и нравственному развитию.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 w:firstLine="680"/>
      </w:pPr>
      <w:r>
        <w:t>При проведении обследования должна обеспечиваться конфиденциальность полученных персональ</w:t>
      </w:r>
      <w:r>
        <w:t>ных данных граждан.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 w:after="294"/>
        <w:ind w:left="80" w:right="60" w:firstLine="680"/>
      </w:pPr>
      <w:r>
        <w:t>По результатам обследования в течение 3-х дней составляется соответствующий акт обследования условий жизни несовершеннолетнего гражданина и его семьи, копия которого направляется в орган опеки и попечительства.</w:t>
      </w:r>
    </w:p>
    <w:p w:rsidR="00315429" w:rsidRDefault="00ED69CF">
      <w:pPr>
        <w:pStyle w:val="22"/>
        <w:framePr w:w="9739" w:h="14107" w:hRule="exact" w:wrap="around" w:vAnchor="page" w:hAnchor="page" w:x="1100" w:y="1347"/>
        <w:shd w:val="clear" w:color="auto" w:fill="auto"/>
        <w:spacing w:before="0" w:after="254" w:line="230" w:lineRule="exact"/>
        <w:ind w:right="20"/>
        <w:jc w:val="center"/>
      </w:pPr>
      <w:bookmarkStart w:id="2" w:name="bookmark2"/>
      <w:r>
        <w:t>Оплата работодателем дней</w:t>
      </w:r>
      <w:r>
        <w:t xml:space="preserve"> диспансеризации</w:t>
      </w:r>
      <w:bookmarkEnd w:id="2"/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 w:firstLine="680"/>
      </w:pPr>
      <w:r>
        <w:t>Диспансеризация — это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</w:t>
      </w:r>
      <w:r>
        <w:t>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 w:firstLine="680"/>
      </w:pPr>
      <w:r>
        <w:t>В соответствии со ст. 185.1 Трудового кодекса Российской Федерации работники при прохождении диспансеризации имеют право на осв</w:t>
      </w:r>
      <w:r>
        <w:t>обождение от работы на 1 рабочий день один раз в 3 года с сохранением за ними места работы (должности) и среднего заработка.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 w:firstLine="680"/>
      </w:pPr>
      <w:proofErr w:type="gramStart"/>
      <w:r>
        <w:t>Работники, не достигшие возраста, дающего право на назначение пенсии по старости, в том числе досрочно, в течение пяти лет до насту</w:t>
      </w:r>
      <w:r>
        <w:t>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2 рабочих дня один раз в год с сохранением за ними места работы (должности) и</w:t>
      </w:r>
      <w:proofErr w:type="gramEnd"/>
      <w:r>
        <w:t xml:space="preserve"> среднего заработка.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 w:firstLine="680"/>
      </w:pPr>
      <w:r>
        <w:t>При этом</w:t>
      </w:r>
      <w:proofErr w:type="gramStart"/>
      <w:r>
        <w:t>,</w:t>
      </w:r>
      <w:proofErr w:type="gramEnd"/>
      <w:r>
        <w:t xml:space="preserve"> работник освобождается от работы для прохождения диспансеризации на основании его письменного заявления, день такого освобождения согласовывается с работодателем.</w:t>
      </w:r>
    </w:p>
    <w:p w:rsidR="00315429" w:rsidRDefault="00ED69CF">
      <w:pPr>
        <w:pStyle w:val="1"/>
        <w:framePr w:w="9739" w:h="14107" w:hRule="exact" w:wrap="around" w:vAnchor="page" w:hAnchor="page" w:x="1100" w:y="1347"/>
        <w:shd w:val="clear" w:color="auto" w:fill="auto"/>
        <w:spacing w:before="0"/>
        <w:ind w:left="80" w:right="60"/>
        <w:jc w:val="left"/>
      </w:pPr>
      <w:r>
        <w:t>Кроме того, внесены изменения в Программу государственных гара</w:t>
      </w:r>
      <w:r>
        <w:t>нтий бесплатного оказания гражданам медицинской помощи, которыми предусмотрено, что:</w:t>
      </w:r>
    </w:p>
    <w:p w:rsidR="00315429" w:rsidRDefault="00ED69CF">
      <w:pPr>
        <w:pStyle w:val="1"/>
        <w:framePr w:w="9739" w:h="14107" w:hRule="exact" w:wrap="around" w:vAnchor="page" w:hAnchor="page" w:x="1100" w:y="1347"/>
        <w:numPr>
          <w:ilvl w:val="0"/>
          <w:numId w:val="2"/>
        </w:numPr>
        <w:shd w:val="clear" w:color="auto" w:fill="auto"/>
        <w:spacing w:before="0"/>
        <w:ind w:left="80" w:right="60"/>
        <w:jc w:val="left"/>
      </w:pPr>
      <w:r>
        <w:t xml:space="preserve"> гражданин имеет право не реже 1 раза в год на бесплатный профилактический медосмотр, в том числе в рамках диспансеризации;</w:t>
      </w:r>
    </w:p>
    <w:p w:rsidR="00315429" w:rsidRDefault="00ED69CF">
      <w:pPr>
        <w:pStyle w:val="1"/>
        <w:framePr w:w="9739" w:h="14107" w:hRule="exact" w:wrap="around" w:vAnchor="page" w:hAnchor="page" w:x="1100" w:y="1347"/>
        <w:numPr>
          <w:ilvl w:val="0"/>
          <w:numId w:val="2"/>
        </w:numPr>
        <w:shd w:val="clear" w:color="auto" w:fill="auto"/>
        <w:spacing w:before="0"/>
        <w:ind w:left="80" w:right="60"/>
        <w:jc w:val="left"/>
      </w:pPr>
      <w:r>
        <w:t xml:space="preserve"> пройти такой медосмотр, диспансеризацию можно в вечерние часы и субботу', запись на медицинские исследования должна быть, в том числе, и дистанционной;</w:t>
      </w:r>
    </w:p>
    <w:p w:rsidR="00315429" w:rsidRDefault="00ED69CF">
      <w:pPr>
        <w:pStyle w:val="1"/>
        <w:framePr w:w="9739" w:h="14107" w:hRule="exact" w:wrap="around" w:vAnchor="page" w:hAnchor="page" w:x="1100" w:y="1347"/>
        <w:numPr>
          <w:ilvl w:val="0"/>
          <w:numId w:val="2"/>
        </w:numPr>
        <w:shd w:val="clear" w:color="auto" w:fill="auto"/>
        <w:spacing w:before="0"/>
        <w:ind w:left="80" w:right="60"/>
      </w:pPr>
      <w:r>
        <w:t xml:space="preserve"> на официальных сайтах региональных органов власти в сфере охраны здоровья должна размещаться информаци</w:t>
      </w:r>
      <w:r>
        <w:t xml:space="preserve">я о медицинских организациях, на базе которых граждане могут пройти </w:t>
      </w:r>
      <w:proofErr w:type="spellStart"/>
      <w:r>
        <w:t>профмедосмотры</w:t>
      </w:r>
      <w:proofErr w:type="spellEnd"/>
      <w:r>
        <w:t>, включая диспансеризацию;</w:t>
      </w:r>
    </w:p>
    <w:p w:rsidR="00315429" w:rsidRDefault="00ED69CF">
      <w:pPr>
        <w:pStyle w:val="1"/>
        <w:framePr w:w="9739" w:h="14107" w:hRule="exact" w:wrap="around" w:vAnchor="page" w:hAnchor="page" w:x="1100" w:y="1347"/>
        <w:numPr>
          <w:ilvl w:val="0"/>
          <w:numId w:val="2"/>
        </w:numPr>
        <w:shd w:val="clear" w:color="auto" w:fill="auto"/>
        <w:spacing w:before="0"/>
        <w:ind w:right="20"/>
        <w:jc w:val="center"/>
      </w:pPr>
      <w:r>
        <w:t xml:space="preserve"> одной из целей данных профилактических мероприятий объявляется </w:t>
      </w:r>
      <w:proofErr w:type="spellStart"/>
      <w:r>
        <w:t>онко-скрининг</w:t>
      </w:r>
      <w:proofErr w:type="spellEnd"/>
      <w:r>
        <w:t>;</w:t>
      </w:r>
    </w:p>
    <w:p w:rsidR="00315429" w:rsidRDefault="00ED69CF">
      <w:pPr>
        <w:pStyle w:val="1"/>
        <w:framePr w:w="9739" w:h="14107" w:hRule="exact" w:wrap="around" w:vAnchor="page" w:hAnchor="page" w:x="1100" w:y="1347"/>
        <w:numPr>
          <w:ilvl w:val="0"/>
          <w:numId w:val="2"/>
        </w:numPr>
        <w:shd w:val="clear" w:color="auto" w:fill="auto"/>
        <w:spacing w:before="0"/>
        <w:ind w:left="80" w:right="60"/>
      </w:pPr>
      <w:r>
        <w:t xml:space="preserve"> </w:t>
      </w:r>
      <w:proofErr w:type="spellStart"/>
      <w:r>
        <w:t>онкодиагноз</w:t>
      </w:r>
      <w:proofErr w:type="spellEnd"/>
      <w:r>
        <w:t xml:space="preserve"> должен быть установлен не позднее 14 календарных дней с</w:t>
      </w:r>
      <w:r>
        <w:t>о дня назначения исследований, а 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диагноза.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22"/>
        <w:framePr w:w="9749" w:h="14931" w:hRule="exact" w:wrap="around" w:vAnchor="page" w:hAnchor="page" w:x="1095" w:y="940"/>
        <w:shd w:val="clear" w:color="auto" w:fill="auto"/>
        <w:spacing w:before="0" w:after="258" w:line="230" w:lineRule="exact"/>
        <w:ind w:right="20"/>
        <w:jc w:val="center"/>
      </w:pPr>
      <w:bookmarkStart w:id="3" w:name="bookmark3"/>
      <w:r>
        <w:lastRenderedPageBreak/>
        <w:t>Расширены полномочия коми</w:t>
      </w:r>
      <w:r>
        <w:t>ссии по делам несовершеннолетних</w:t>
      </w:r>
      <w:bookmarkEnd w:id="3"/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>Постановление Правительства РФ от 10.02.2020 № 120 «О внесении изменений в Примерное положение о комиссиях по делам несовершеннолетних и защите их прав», которым расширены полномочия комиссий по делам несовершеннолетних.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proofErr w:type="gramStart"/>
      <w:r>
        <w:t>Внесенными изменениями закреплено, что комиссии субъектов РФ и территориальные (муниципальные)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</w:t>
      </w:r>
      <w:r>
        <w:t>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</w:t>
      </w:r>
      <w:r>
        <w:t xml:space="preserve"> несовершеннолетних, защите их прав и законных интересов</w:t>
      </w:r>
      <w:proofErr w:type="gramEnd"/>
      <w:r>
        <w:t>, их социально-педагогической реабилитации.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>Также изменениями установлен перечень вопросов, относящихся к обеспечению деятельности комиссий субъектов РФ и территориальных (муниципальных) комиссий.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 w:after="294"/>
        <w:ind w:left="80" w:right="60" w:firstLine="680"/>
      </w:pPr>
      <w:r>
        <w:t>Кро</w:t>
      </w:r>
      <w:r>
        <w:t>ме того, внесены поправки, касающиеся оснований прекращения полномочий председателя, заместителя председателя, ответственного секретаря, членов комиссий субъектов РФ и территориальных (муниципальных) комиссий.</w:t>
      </w:r>
    </w:p>
    <w:p w:rsidR="00315429" w:rsidRDefault="00ED69CF">
      <w:pPr>
        <w:pStyle w:val="22"/>
        <w:framePr w:w="9749" w:h="14931" w:hRule="exact" w:wrap="around" w:vAnchor="page" w:hAnchor="page" w:x="1095" w:y="940"/>
        <w:shd w:val="clear" w:color="auto" w:fill="auto"/>
        <w:spacing w:before="0" w:after="258" w:line="230" w:lineRule="exact"/>
        <w:ind w:right="20"/>
        <w:jc w:val="center"/>
      </w:pPr>
      <w:bookmarkStart w:id="4" w:name="bookmark4"/>
      <w:r>
        <w:t>Сокращены сроки выдачи разрешений на строитель</w:t>
      </w:r>
      <w:r>
        <w:t>ство</w:t>
      </w:r>
      <w:bookmarkEnd w:id="4"/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>Федеральным законом от 27 декабря 2019года №472-ФЗ в Градостроительный кодекс Российской Федерации внесены изменения, которые касаются:</w:t>
      </w:r>
    </w:p>
    <w:p w:rsidR="00315429" w:rsidRDefault="00ED69CF">
      <w:pPr>
        <w:pStyle w:val="1"/>
        <w:framePr w:w="9749" w:h="14931" w:hRule="exact" w:wrap="around" w:vAnchor="page" w:hAnchor="page" w:x="1095" w:y="940"/>
        <w:numPr>
          <w:ilvl w:val="0"/>
          <w:numId w:val="2"/>
        </w:numPr>
        <w:shd w:val="clear" w:color="auto" w:fill="auto"/>
        <w:spacing w:before="0"/>
        <w:ind w:left="80" w:right="60"/>
      </w:pPr>
      <w:r>
        <w:t xml:space="preserve"> внедрения единых стандартов предоставления государственных услуг в сфере строительства;</w:t>
      </w:r>
    </w:p>
    <w:p w:rsidR="00315429" w:rsidRDefault="00ED69CF">
      <w:pPr>
        <w:pStyle w:val="1"/>
        <w:framePr w:w="9749" w:h="14931" w:hRule="exact" w:wrap="around" w:vAnchor="page" w:hAnchor="page" w:x="1095" w:y="940"/>
        <w:numPr>
          <w:ilvl w:val="0"/>
          <w:numId w:val="2"/>
        </w:numPr>
        <w:shd w:val="clear" w:color="auto" w:fill="auto"/>
        <w:spacing w:before="0"/>
        <w:ind w:left="80"/>
      </w:pPr>
      <w:r>
        <w:t xml:space="preserve"> возможности направления р</w:t>
      </w:r>
      <w:r>
        <w:t>яда документов в электронной форме;</w:t>
      </w:r>
    </w:p>
    <w:p w:rsidR="00315429" w:rsidRDefault="00ED69CF">
      <w:pPr>
        <w:pStyle w:val="1"/>
        <w:framePr w:w="9749" w:h="14931" w:hRule="exact" w:wrap="around" w:vAnchor="page" w:hAnchor="page" w:x="1095" w:y="940"/>
        <w:numPr>
          <w:ilvl w:val="0"/>
          <w:numId w:val="2"/>
        </w:numPr>
        <w:shd w:val="clear" w:color="auto" w:fill="auto"/>
        <w:spacing w:before="0"/>
        <w:ind w:left="80" w:right="60"/>
      </w:pPr>
      <w:r>
        <w:t xml:space="preserve"> сокращения сроков осуществления отдельных процедур, а также сроков выдачи разрешений на строительство и ввод объекта в эксплуатацию, градостроительного плана земельного участка;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>С 28.12.2019 (даты вступления в силу Феде</w:t>
      </w:r>
      <w:r>
        <w:t>рального закона № 472-ФЗ) до 5 рабочих дней сокращены сроки выдачи разрешений на строительство и ввод объекта в эксплуатацию.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 xml:space="preserve">С 14 до 7 рабочих дней сокращен срок предоставления организациями, осуществляющими эксплуатацию сетей инженерно-технического </w:t>
      </w:r>
      <w:r>
        <w:t>обеспечения, технических условий, предусматривающих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условий.</w:t>
      </w:r>
    </w:p>
    <w:p w:rsidR="00315429" w:rsidRDefault="00ED69CF">
      <w:pPr>
        <w:pStyle w:val="1"/>
        <w:framePr w:w="9749" w:h="14931" w:hRule="exact" w:wrap="around" w:vAnchor="page" w:hAnchor="page" w:x="1095" w:y="940"/>
        <w:shd w:val="clear" w:color="auto" w:fill="auto"/>
        <w:spacing w:before="0"/>
        <w:ind w:left="80" w:right="60" w:firstLine="680"/>
      </w:pPr>
      <w:r>
        <w:t>В целях получе</w:t>
      </w:r>
      <w:r>
        <w:t>ния градостроительного плана земельного участка правообладатель земельного участка вправе обратиться с заявлением в орган местного самоуправления по мест</w:t>
      </w:r>
      <w:proofErr w:type="gramStart"/>
      <w:r>
        <w:t>у-</w:t>
      </w:r>
      <w:proofErr w:type="gramEnd"/>
      <w:r>
        <w:t xml:space="preserve"> нахождения земельного участка, в том числе в форме электронного документа, подписанного. При этом ор</w:t>
      </w:r>
      <w:r>
        <w:t xml:space="preserve">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</w:t>
      </w:r>
      <w:proofErr w:type="gramStart"/>
      <w:r>
        <w:t>выдается заявителю</w:t>
      </w:r>
      <w:r>
        <w:t xml:space="preserve"> без взимания платы и может</w:t>
      </w:r>
      <w:proofErr w:type="gramEnd"/>
      <w:r>
        <w:t xml:space="preserve"> быть выдан также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20"/>
        <w:framePr w:w="9749" w:h="14971" w:hRule="exact" w:wrap="around" w:vAnchor="page" w:hAnchor="page" w:x="1095" w:y="905"/>
        <w:shd w:val="clear" w:color="auto" w:fill="auto"/>
        <w:spacing w:after="0" w:line="298" w:lineRule="exact"/>
      </w:pPr>
      <w:r>
        <w:lastRenderedPageBreak/>
        <w:t>Уголовная ответственность за незаконный</w:t>
      </w:r>
      <w:r>
        <w:t xml:space="preserve"> оборот полудрагоценных камней, драгоценных металлов, драгоценных камней, нарушение правил охраны и</w:t>
      </w:r>
    </w:p>
    <w:p w:rsidR="00315429" w:rsidRDefault="00ED69CF">
      <w:pPr>
        <w:pStyle w:val="30"/>
        <w:framePr w:w="9749" w:h="14971" w:hRule="exact" w:wrap="around" w:vAnchor="page" w:hAnchor="page" w:x="1095" w:y="905"/>
        <w:shd w:val="clear" w:color="auto" w:fill="auto"/>
      </w:pPr>
      <w:r>
        <w:t>использования недр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80" w:right="60" w:firstLine="700"/>
      </w:pPr>
      <w:r>
        <w:t>Федеральным законом от 27.12.2019 г. № 500-ФЗ «О внесении изменений в Уголовный кодекс Российской Федерации» статьи 191, 255 УК РФ изложе</w:t>
      </w:r>
      <w:r>
        <w:t>ны в следующей редакции: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80" w:right="60" w:firstLine="700"/>
      </w:pPr>
      <w:r>
        <w:t>«Незаконный оборот янтаря, нефрита или иных полудрагоценных камней, драгоценных металлов, драгоценных камней либо жемчуга».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80" w:right="60" w:firstLine="700"/>
      </w:pPr>
      <w:r>
        <w:t xml:space="preserve">1. </w:t>
      </w:r>
      <w:proofErr w:type="gramStart"/>
      <w:r>
        <w:t>Совершение сделки, связанной с заведомо самовольно добытыми янтарем, нефритом или иными полудрагоценными</w:t>
      </w:r>
      <w:r>
        <w:t xml:space="preserve"> камнями, а равно их незаконные хранение, перевозка или пересылка в любом виде, состоянии, за исключением ювелирных и бытовых изделий и лома таких изделий, лицом, подвергнутым административному наказанию за аналогичное деяние, предусмотренное ст. 7.5 </w:t>
      </w:r>
      <w:proofErr w:type="spellStart"/>
      <w:r>
        <w:t>КоАП</w:t>
      </w:r>
      <w:proofErr w:type="spellEnd"/>
      <w:r>
        <w:t xml:space="preserve"> </w:t>
      </w:r>
      <w:r>
        <w:t>РФ.</w:t>
      </w:r>
      <w:proofErr w:type="gramEnd"/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 w:after="240"/>
        <w:ind w:left="80" w:right="60" w:firstLine="700"/>
      </w:pPr>
      <w:r>
        <w:t xml:space="preserve">Санкция статьи предусматривает максимальное наказание с учетом квалифицирующих признаков в виде лишения свободы на срок до 7 лет со штрафом в размере до 1 </w:t>
      </w:r>
      <w:proofErr w:type="spellStart"/>
      <w:r>
        <w:t>млн</w:t>
      </w:r>
      <w:proofErr w:type="spellEnd"/>
      <w:proofErr w:type="gramStart"/>
      <w:r>
        <w:t xml:space="preserve"> .</w:t>
      </w:r>
      <w:proofErr w:type="gramEnd"/>
      <w:r>
        <w:t>руб.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120"/>
        <w:jc w:val="left"/>
      </w:pPr>
      <w:r>
        <w:t>«Нарушение правил охраны и использования недр».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80" w:right="60"/>
      </w:pPr>
      <w:r>
        <w:t xml:space="preserve">1. </w:t>
      </w:r>
      <w:proofErr w:type="gramStart"/>
      <w:r>
        <w:t xml:space="preserve">Нарушение правил охраны и </w:t>
      </w:r>
      <w:r>
        <w:t>использования недр при проектировании, размещении, строительстве, вводе в эксплуатацию и эксплуатации горнодобывающих предприятий или подземных сооружений, не связанных с добычей полезных ископаемых, а равно самовольная застройка площадей залегания полезны</w:t>
      </w:r>
      <w:r>
        <w:t>х ископаемых, если эти деяния повлекли причинение значительного ущерба, Санкция статьи предусматривает максимальное наказание с учетом квалифицирующих признаков лишением свободы на срок до 4 лет со штрафом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до 500 тыс. рублей.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 w:after="294"/>
        <w:ind w:left="80" w:right="60"/>
      </w:pPr>
      <w:r>
        <w:t>Крупным размером в н</w:t>
      </w:r>
      <w:r>
        <w:t>астоящей статье признается стоимость янтаря, нефрита или иных полудрагоценных камней, превышающая 1млн</w:t>
      </w:r>
      <w:proofErr w:type="gramStart"/>
      <w:r>
        <w:t>.р</w:t>
      </w:r>
      <w:proofErr w:type="gramEnd"/>
      <w:r>
        <w:t>уб».</w:t>
      </w:r>
    </w:p>
    <w:p w:rsidR="00315429" w:rsidRDefault="00ED69CF">
      <w:pPr>
        <w:pStyle w:val="20"/>
        <w:framePr w:w="9749" w:h="14971" w:hRule="exact" w:wrap="around" w:vAnchor="page" w:hAnchor="page" w:x="1095" w:y="905"/>
        <w:shd w:val="clear" w:color="auto" w:fill="auto"/>
        <w:spacing w:after="263" w:line="230" w:lineRule="exact"/>
      </w:pPr>
      <w:r>
        <w:t>Перелет с боевым стрелковым оружием, патронами и спецсредствами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80" w:right="60" w:firstLine="700"/>
      </w:pPr>
      <w:proofErr w:type="gramStart"/>
      <w:r>
        <w:t>За сотрудниками и военнослужащим Государственной фельдъегерской службы РФ, Межправи</w:t>
      </w:r>
      <w:r>
        <w:t>тельственной фельдъегерской связи, сопровождающих корреспонденцию, Федеральной службы охраны РФ, Федеральной службы безопасности РФ, войск национальной гвардии РФ и МВД РФ, сопровождающие объекты государственной охраны, обеспечивающих безопасность лиц, под</w:t>
      </w:r>
      <w:r>
        <w:t>лежащих государственной защите и иных лиц, на основании федеральных законов и принимаемых в соответствии с ними иных нормативных правовых актов РФ закреплено право не сдавать</w:t>
      </w:r>
      <w:proofErr w:type="gramEnd"/>
      <w:r>
        <w:t xml:space="preserve"> на время перелета воздушным транспортом боевое стрелковое оружие, патроны и спецс</w:t>
      </w:r>
      <w:r>
        <w:t>редства.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120" w:right="60" w:firstLine="660"/>
      </w:pPr>
      <w:r>
        <w:t>Указанные сотрудники и военнослужащие должны иметь при себе соответствующее командировочное удостоверение с необходимыми отметками и записью о цели командировки.</w:t>
      </w:r>
    </w:p>
    <w:p w:rsidR="00315429" w:rsidRDefault="00ED69CF">
      <w:pPr>
        <w:pStyle w:val="1"/>
        <w:framePr w:w="9749" w:h="14971" w:hRule="exact" w:wrap="around" w:vAnchor="page" w:hAnchor="page" w:x="1095" w:y="905"/>
        <w:shd w:val="clear" w:color="auto" w:fill="auto"/>
        <w:spacing w:before="0"/>
        <w:ind w:left="120" w:right="60" w:firstLine="660"/>
      </w:pPr>
      <w:proofErr w:type="gramStart"/>
      <w:r>
        <w:t>Указанное право закреплено в связи с внесенными изменения постановлением Правительств</w:t>
      </w:r>
      <w:r>
        <w:t xml:space="preserve">а РФ от 26.12.2019 № 1852 в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</w:t>
      </w:r>
      <w:r>
        <w:t>и транспортных средств воздушного транспорта, утвержденных постановлением Правительства РФ от 28.07.2018 № 886.</w:t>
      </w:r>
      <w:proofErr w:type="gramEnd"/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1"/>
        <w:framePr w:w="9749" w:h="14930" w:hRule="exact" w:wrap="around" w:vAnchor="page" w:hAnchor="page" w:x="1095" w:y="950"/>
        <w:shd w:val="clear" w:color="auto" w:fill="auto"/>
        <w:spacing w:after="258" w:line="230" w:lineRule="exact"/>
      </w:pPr>
      <w:bookmarkStart w:id="5" w:name="bookmark5"/>
      <w:r>
        <w:lastRenderedPageBreak/>
        <w:t>Порядок и условия выдела доли в квартире в натуре</w:t>
      </w:r>
      <w:bookmarkEnd w:id="5"/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По общему правилу долю в праве собственности на имущество, находящееся в</w:t>
      </w:r>
      <w:r>
        <w:t xml:space="preserve"> долевой собственности, можно выделить в натуре по соглашению между всеми сособственниками, а при </w:t>
      </w:r>
      <w:proofErr w:type="spellStart"/>
      <w:r>
        <w:t>недостижении</w:t>
      </w:r>
      <w:proofErr w:type="spellEnd"/>
      <w:r>
        <w:t xml:space="preserve"> такого соглашения - в судебном порядке (п. п. 1,3 ст. 252 ГК РФ).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Выделить долю в квартире в натуре можно при одновременном соблюдении, в частнос</w:t>
      </w:r>
      <w:r>
        <w:t xml:space="preserve">ти, следующих условий, определенных п. 3 ст. 252 ГК РФ; п. 12 Постановления Пленума Верховного Суда РФ от 24.08.1993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>8 "О некоторых вопросах применения судами Закона Российской Федерации "О приватизации жилищного фонда в Российской Федерации"</w:t>
      </w:r>
      <w:r>
        <w:t xml:space="preserve">; п. 35 Постановления Пленума Верховного Суда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 xml:space="preserve">6, Пленума ВАС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>8 от 01.07.1996 «О некоторых вопросах, связанных с применением части первой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firstLine="700"/>
      </w:pPr>
      <w:r>
        <w:t>Гражданского кодекса Российской Федерации»:</w:t>
      </w:r>
    </w:p>
    <w:p w:rsidR="00315429" w:rsidRDefault="00ED69CF">
      <w:pPr>
        <w:pStyle w:val="1"/>
        <w:framePr w:w="9749" w:h="14930" w:hRule="exact" w:wrap="around" w:vAnchor="page" w:hAnchor="page" w:x="1095" w:y="950"/>
        <w:numPr>
          <w:ilvl w:val="0"/>
          <w:numId w:val="3"/>
        </w:numPr>
        <w:shd w:val="clear" w:color="auto" w:fill="auto"/>
        <w:spacing w:before="0"/>
        <w:ind w:left="80" w:right="60"/>
      </w:pPr>
      <w:r>
        <w:t xml:space="preserve"> имеется техническая возможность передать участнику долевой собст</w:t>
      </w:r>
      <w:r>
        <w:t>венности не только жилое помещение, но и подсобные помещения (в частности, кухню, коридор, санузел), а также оборудовать отдельный вход;</w:t>
      </w:r>
    </w:p>
    <w:p w:rsidR="00315429" w:rsidRDefault="00ED69CF">
      <w:pPr>
        <w:pStyle w:val="1"/>
        <w:framePr w:w="9749" w:h="14930" w:hRule="exact" w:wrap="around" w:vAnchor="page" w:hAnchor="page" w:x="1095" w:y="950"/>
        <w:numPr>
          <w:ilvl w:val="0"/>
          <w:numId w:val="3"/>
        </w:numPr>
        <w:shd w:val="clear" w:color="auto" w:fill="auto"/>
        <w:spacing w:before="0"/>
        <w:ind w:left="80" w:right="60"/>
      </w:pPr>
      <w:r>
        <w:t xml:space="preserve"> выделяемые части соответствуют установленным техническим и санитарно- гигиеническим требованиям (в частности, по площа</w:t>
      </w:r>
      <w:r>
        <w:t>ди и освещенности жилых комнат и подсобных помещений);</w:t>
      </w:r>
    </w:p>
    <w:p w:rsidR="00315429" w:rsidRDefault="00ED69CF">
      <w:pPr>
        <w:pStyle w:val="1"/>
        <w:framePr w:w="9749" w:h="14930" w:hRule="exact" w:wrap="around" w:vAnchor="page" w:hAnchor="page" w:x="1095" w:y="950"/>
        <w:numPr>
          <w:ilvl w:val="0"/>
          <w:numId w:val="3"/>
        </w:numPr>
        <w:shd w:val="clear" w:color="auto" w:fill="auto"/>
        <w:spacing w:before="0"/>
        <w:ind w:left="80" w:right="60"/>
      </w:pPr>
      <w:r>
        <w:t xml:space="preserve"> выдел не наносит квартире несоразмерный ущерб, то есть не препятствует использованию квартиры по целевому назначению, не ухудшает ее техническое состояние, не создает неудобство в пользовании и т.п.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Е</w:t>
      </w:r>
      <w:r>
        <w:t xml:space="preserve">сли выдел доли в натуре </w:t>
      </w:r>
      <w:proofErr w:type="gramStart"/>
      <w:r>
        <w:t>возможен и все участники долевой собственности согласны</w:t>
      </w:r>
      <w:proofErr w:type="gramEnd"/>
      <w:r>
        <w:t xml:space="preserve"> на это, между ними заключается соглашение, в котором определяются способ и условия выдела.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Если же достичь соглашения с остальными сособственниками не удалось, участник долевой</w:t>
      </w:r>
      <w:r>
        <w:t xml:space="preserve"> собственности вправе требовать выдела своей доли в судебном порядке (п. п. 1, 3 ст. 252 ГК РФ).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Суд устанавливает техническую возможность выдела доли в квартире в натуре по результатам назначенной строительно-технической экспертизы (</w:t>
      </w:r>
      <w:proofErr w:type="gramStart"/>
      <w:r>
        <w:t>ч</w:t>
      </w:r>
      <w:proofErr w:type="gramEnd"/>
      <w:r>
        <w:t>. 1 ст. 79, ст. 80 ГП</w:t>
      </w:r>
      <w:r>
        <w:t>К РФ).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При несоблюдении указанных выше условий в выделе доли квартиры в натуре будет отказано.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В большинстве случаев для выдела также необходимо проведение работ по переустройству и (или) перепланировке для формирования изолированного жилого помещения. Ука</w:t>
      </w:r>
      <w:r>
        <w:t>занные работы проводятся по согласованию с уполномоченным органом местного самоуправления (</w:t>
      </w:r>
      <w:proofErr w:type="gramStart"/>
      <w:r>
        <w:t>ч</w:t>
      </w:r>
      <w:proofErr w:type="gramEnd"/>
      <w:r>
        <w:t>. 1,2 ст. 26, ч. 1 ст. 28 ЖК РФ).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Если выделить в натуре долю в квартире невозможно, участнику долевой собственности, заявившему требование о выделе доли, с его сог</w:t>
      </w:r>
      <w:r>
        <w:t>ласия может быть выплачена остальными собственниками компенсация.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 xml:space="preserve">Суд также может обязать остальных собственников выплатить указанную компенсацию без согласия собственника, если его доля незначительна, ее нельзя выделить в натуре и сособственник не имеет </w:t>
      </w:r>
      <w:r>
        <w:t>существенного интереса в использовании общего имущества.</w:t>
      </w:r>
    </w:p>
    <w:p w:rsidR="00315429" w:rsidRDefault="00ED69CF">
      <w:pPr>
        <w:pStyle w:val="1"/>
        <w:framePr w:w="9749" w:h="14930" w:hRule="exact" w:wrap="around" w:vAnchor="page" w:hAnchor="page" w:x="1095" w:y="950"/>
        <w:shd w:val="clear" w:color="auto" w:fill="auto"/>
        <w:spacing w:before="0"/>
        <w:ind w:left="80" w:right="60" w:firstLine="700"/>
      </w:pPr>
      <w:r>
        <w:t>При этом вопрос о том, имеется ли у участника долевой собственности существенный интерес в использовании общего имущества, решается судом в каждом конкретном случае на основании представленных сторон</w:t>
      </w:r>
      <w:r>
        <w:t>ами доказательств, подтверждающих, в частности, нуждаемость в использовании этого имущества в силу возраста, состояния здоровья, профессиональной деятельности, наличия детей,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 w:line="307" w:lineRule="exact"/>
        <w:ind w:left="80" w:right="60"/>
      </w:pPr>
      <w:r>
        <w:lastRenderedPageBreak/>
        <w:t>других членов семьи, в том числе нетрудоспособных, и т.д. (</w:t>
      </w:r>
      <w:r>
        <w:t xml:space="preserve">п. п. 3, 4 ст. 252 ГК РФ; п. 36 Постановления Пленума Верховного Суда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 xml:space="preserve">6, Пленума ВАС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>8 «О некоторых вопросах, связанных с применением части первой Гражданского кодекса Российской Федерации»).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 w:after="240"/>
        <w:ind w:left="80" w:right="60" w:firstLine="720"/>
      </w:pPr>
      <w:r>
        <w:t xml:space="preserve">Кроме того, если выделить долю в квартире в натуре не </w:t>
      </w:r>
      <w:r>
        <w:t>представляется возможным, любой из участников общей долевой собственности вправе заявить в суд требование об определении порядка пользования квартирой, если этот порядок не установлен соглашением сторон (ст. 247 ГК РФ; п. 37 Постановления Пленума Верховног</w:t>
      </w:r>
      <w:r>
        <w:t xml:space="preserve">о Суда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 xml:space="preserve">6, Пленума ВАС РФ </w:t>
      </w:r>
      <w:r>
        <w:rPr>
          <w:lang w:val="en-US" w:eastAsia="en-US" w:bidi="en-US"/>
        </w:rPr>
        <w:t>N</w:t>
      </w:r>
      <w:r w:rsidRPr="00ED69CF">
        <w:rPr>
          <w:lang w:eastAsia="en-US" w:bidi="en-US"/>
        </w:rPr>
        <w:t xml:space="preserve"> </w:t>
      </w:r>
      <w:r>
        <w:t>8 «О некоторых вопросах, связанных с применением части первой Гражданского кодекса Российской Федерации»),</w:t>
      </w:r>
    </w:p>
    <w:p w:rsidR="00315429" w:rsidRDefault="00ED69CF">
      <w:pPr>
        <w:pStyle w:val="22"/>
        <w:framePr w:w="9754" w:h="15272" w:hRule="exact" w:wrap="around" w:vAnchor="page" w:hAnchor="page" w:x="1093" w:y="783"/>
        <w:shd w:val="clear" w:color="auto" w:fill="auto"/>
        <w:spacing w:before="0"/>
        <w:jc w:val="center"/>
      </w:pPr>
      <w:bookmarkStart w:id="6" w:name="bookmark6"/>
      <w:r>
        <w:t>Внесены поправки в Трудовой кодекс РФ, упрощающие возможность взыскания долгов по заработной плате во внесудебном пор</w:t>
      </w:r>
      <w:r>
        <w:t>ядке</w:t>
      </w:r>
      <w:bookmarkEnd w:id="6"/>
    </w:p>
    <w:p w:rsidR="00315429" w:rsidRDefault="00ED69CF">
      <w:pPr>
        <w:pStyle w:val="1"/>
        <w:framePr w:w="9754" w:h="15272" w:hRule="exact" w:wrap="around" w:vAnchor="page" w:hAnchor="page" w:x="1093" w:y="783"/>
        <w:numPr>
          <w:ilvl w:val="0"/>
          <w:numId w:val="4"/>
        </w:numPr>
        <w:shd w:val="clear" w:color="auto" w:fill="auto"/>
        <w:tabs>
          <w:tab w:val="left" w:pos="2144"/>
        </w:tabs>
        <w:spacing w:before="0"/>
        <w:ind w:left="80" w:right="60" w:firstLine="720"/>
      </w:pPr>
      <w:r>
        <w:t>вступили в силу поправки в Трудовой Кодекс РФ, которые предоставляют дополнительные возможности для взыскания с работодателей долгов по заработной плате.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 xml:space="preserve">Изменения ст. 356 ТК РФ предусматривают новые полномочия федеральной инспекции труда по </w:t>
      </w:r>
      <w:r>
        <w:t>нарушениям трудового законодательства. Государственные инспекторы труда наделяются правами принимать решения о принудительной выплате заработной платы.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 xml:space="preserve">Решение госинспектора труда о принудительном исполнении приравнено законом к исполнительному документу, </w:t>
      </w:r>
      <w:r>
        <w:t>являющемуся основанием для возбуждения исполнительного производства.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 w:after="294"/>
        <w:ind w:left="80" w:right="60" w:firstLine="720"/>
      </w:pPr>
      <w:r>
        <w:t xml:space="preserve">В случаи неисполнения решения государственного инспектора труда, оно в электронном виде (электронного документа) должно быть направлено на исполнение в органы федеральной службы судебных </w:t>
      </w:r>
      <w:r>
        <w:t>приставов.</w:t>
      </w:r>
    </w:p>
    <w:p w:rsidR="00315429" w:rsidRDefault="00ED69CF">
      <w:pPr>
        <w:pStyle w:val="22"/>
        <w:framePr w:w="9754" w:h="15272" w:hRule="exact" w:wrap="around" w:vAnchor="page" w:hAnchor="page" w:x="1093" w:y="783"/>
        <w:shd w:val="clear" w:color="auto" w:fill="auto"/>
        <w:spacing w:before="0" w:after="268" w:line="230" w:lineRule="exact"/>
        <w:jc w:val="center"/>
      </w:pPr>
      <w:bookmarkStart w:id="7" w:name="bookmark7"/>
      <w:r>
        <w:t>Об электронных трудовых книжках</w:t>
      </w:r>
      <w:bookmarkEnd w:id="7"/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С 1 января 2020 года вступают в действие изменения в Трудовой кодекс Российской Федерации, касающиеся оформления сведений о трудовой деятельности.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Как известно, сведения о трудовой деятельности каждого работника ф</w:t>
      </w:r>
      <w:r>
        <w:t>ормируются путем заполнения работодателем трудовых книжек. Федеральным законом от 16.12.2019 №439-Ф3 «О внесении изменений в Трудовой кодекс Российской Федерации в части формирования сведений о трудовой деятельности в электронном виде» вводятся электронные</w:t>
      </w:r>
      <w:r>
        <w:t xml:space="preserve"> трудовые книжки.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Теперь информация о трудовой деятельности, стаже каждого работника будет собираться в электронном виде и передаваться работодателем для хранения в информационных ресурсах Пенсионного фонда Российской Федерации.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В сведения о трудовой деяте</w:t>
      </w:r>
      <w:r>
        <w:t>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законом инфор</w:t>
      </w:r>
      <w:r>
        <w:t>мация.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У работников есть право запрашивать у работодателя сведения о своей трудовой деятельности как на бумажном носителе, так и в электронном виде, контролировать правильность сделанных записей. По письменному заявлению работника работодатель обязан испра</w:t>
      </w:r>
      <w:r>
        <w:t>вить или дополнить необходимую информацию.</w:t>
      </w:r>
    </w:p>
    <w:p w:rsidR="00315429" w:rsidRDefault="00ED69CF">
      <w:pPr>
        <w:pStyle w:val="1"/>
        <w:framePr w:w="9754" w:h="15272" w:hRule="exact" w:wrap="around" w:vAnchor="page" w:hAnchor="page" w:x="1093" w:y="783"/>
        <w:shd w:val="clear" w:color="auto" w:fill="auto"/>
        <w:spacing w:before="0"/>
        <w:ind w:left="80" w:right="60" w:firstLine="720"/>
      </w:pPr>
      <w:r>
        <w:t>С 1 января 2021 года для всех впервые поступающих на работу лиц сведения о трудовой деятельности будут оформляться в электронном виде, без заведения бумажных трудовых книжек.</w:t>
      </w:r>
    </w:p>
    <w:p w:rsidR="00315429" w:rsidRDefault="00315429">
      <w:pPr>
        <w:rPr>
          <w:sz w:val="2"/>
          <w:szCs w:val="2"/>
        </w:rPr>
        <w:sectPr w:rsidR="003154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429" w:rsidRDefault="00ED69CF">
      <w:pPr>
        <w:pStyle w:val="1"/>
        <w:framePr w:w="9701" w:h="10465" w:hRule="exact" w:wrap="around" w:vAnchor="page" w:hAnchor="page" w:x="1119" w:y="783"/>
        <w:shd w:val="clear" w:color="auto" w:fill="auto"/>
        <w:spacing w:before="0"/>
        <w:ind w:left="60" w:right="40" w:firstLine="680"/>
      </w:pPr>
      <w:r>
        <w:lastRenderedPageBreak/>
        <w:t>Для тех, кто тру</w:t>
      </w:r>
      <w:r>
        <w:t>доустроился ранее, переходным периодом будет 2020 год, в течение которого работники путем подачи письменного заявления могут сделать выбор между продолжением ведения работодателем трудовой книжки (на бумажном носителе) и оформлением сведений о трудовой дея</w:t>
      </w:r>
      <w:r>
        <w:t>тельности в электронном виде.</w:t>
      </w:r>
    </w:p>
    <w:p w:rsidR="00315429" w:rsidRDefault="00ED69CF">
      <w:pPr>
        <w:pStyle w:val="1"/>
        <w:framePr w:w="9701" w:h="10465" w:hRule="exact" w:wrap="around" w:vAnchor="page" w:hAnchor="page" w:x="1119" w:y="783"/>
        <w:shd w:val="clear" w:color="auto" w:fill="auto"/>
        <w:spacing w:before="0" w:after="294"/>
        <w:ind w:left="60" w:right="40" w:firstLine="680"/>
      </w:pPr>
      <w:r>
        <w:t xml:space="preserve">При этом работодатели в срок по 30 июня 2020 года должны уведомить каждого работника об изменении трудового законодательства в части ведения записей о трудовой деятельности </w:t>
      </w:r>
      <w:proofErr w:type="gramStart"/>
      <w:r>
        <w:t>и</w:t>
      </w:r>
      <w:proofErr w:type="gramEnd"/>
      <w:r>
        <w:t xml:space="preserve"> о праве сделать соответствующий выбор. В случае</w:t>
      </w:r>
      <w:proofErr w:type="gramStart"/>
      <w:r>
        <w:t>,</w:t>
      </w:r>
      <w:proofErr w:type="gramEnd"/>
      <w:r>
        <w:t xml:space="preserve"> </w:t>
      </w:r>
      <w:r>
        <w:t>если работник не подал работодателю ни одного из указанных заявлений, работодатель продолжает вести его трудовую книжку на бумажном носителе.</w:t>
      </w:r>
    </w:p>
    <w:p w:rsidR="00315429" w:rsidRDefault="00ED69CF">
      <w:pPr>
        <w:pStyle w:val="22"/>
        <w:framePr w:w="9701" w:h="10465" w:hRule="exact" w:wrap="around" w:vAnchor="page" w:hAnchor="page" w:x="1119" w:y="783"/>
        <w:shd w:val="clear" w:color="auto" w:fill="auto"/>
        <w:spacing w:before="0" w:after="254" w:line="230" w:lineRule="exact"/>
        <w:ind w:right="20"/>
        <w:jc w:val="center"/>
      </w:pPr>
      <w:bookmarkStart w:id="8" w:name="bookmark8"/>
      <w:r>
        <w:t>Изменение норм времени управления транспортным средством</w:t>
      </w:r>
      <w:bookmarkEnd w:id="8"/>
    </w:p>
    <w:p w:rsidR="00315429" w:rsidRDefault="00ED69CF">
      <w:pPr>
        <w:pStyle w:val="1"/>
        <w:framePr w:w="9701" w:h="10465" w:hRule="exact" w:wrap="around" w:vAnchor="page" w:hAnchor="page" w:x="1119" w:y="783"/>
        <w:shd w:val="clear" w:color="auto" w:fill="auto"/>
        <w:spacing w:before="0"/>
        <w:ind w:left="60" w:right="40" w:firstLine="680"/>
      </w:pPr>
      <w:r>
        <w:t>Постановлением Правительства Российской Федерации от 20.1</w:t>
      </w:r>
      <w:r>
        <w:t xml:space="preserve">2.2010 № 1733 внесены изменения в Правила дорожного движения Российской Федерации, утвержденные постановлением Совета Министров </w:t>
      </w:r>
      <w:proofErr w:type="gramStart"/>
      <w:r>
        <w:t>-П</w:t>
      </w:r>
      <w:proofErr w:type="gramEnd"/>
      <w:r>
        <w:t>равительства Российской Федерации от 23.10.1993 №1090.</w:t>
      </w:r>
    </w:p>
    <w:p w:rsidR="00315429" w:rsidRDefault="00ED69CF">
      <w:pPr>
        <w:pStyle w:val="1"/>
        <w:framePr w:w="9701" w:h="10465" w:hRule="exact" w:wrap="around" w:vAnchor="page" w:hAnchor="page" w:x="1119" w:y="783"/>
        <w:shd w:val="clear" w:color="auto" w:fill="auto"/>
        <w:spacing w:before="0"/>
        <w:ind w:left="60" w:right="40" w:firstLine="680"/>
      </w:pPr>
      <w:r>
        <w:t>В соответствии с данными изменениями в правила дорожного движения Росси</w:t>
      </w:r>
      <w:r>
        <w:t>йской Федерации дополнены разделом № 26, содержащим нормы времени управления транспортным средством и отдыха водителей грузовых автомобилей, разрешенная максимальная масса которых превышает 3500 килограммов.</w:t>
      </w:r>
    </w:p>
    <w:p w:rsidR="00315429" w:rsidRDefault="00ED69CF">
      <w:pPr>
        <w:pStyle w:val="1"/>
        <w:framePr w:w="9701" w:h="10465" w:hRule="exact" w:wrap="around" w:vAnchor="page" w:hAnchor="page" w:x="1119" w:y="783"/>
        <w:shd w:val="clear" w:color="auto" w:fill="auto"/>
        <w:spacing w:before="0"/>
        <w:ind w:left="60" w:right="40" w:firstLine="680"/>
      </w:pPr>
      <w:r>
        <w:t>В данном разделе правил дорожного движения Росси</w:t>
      </w:r>
      <w:r>
        <w:t>йской Федерации указано, что время управления транспортным средством не должно превышать 9 часов в течение периода, не превышающего 24 часов с момента начала управления транспортным средством, после завершения ежедневного или еженедельного отдыха. При этом</w:t>
      </w:r>
      <w:r>
        <w:t xml:space="preserve"> водитель обязан сделать перерыв для отдыха от управления транспортным средством продолжительностью не менее 45 минут не позднее 4 часов 30 минут с момента начала управления транспортным средством или с момента начала очередного периода управления транспор</w:t>
      </w:r>
      <w:r>
        <w:t xml:space="preserve">тным средством. Отдых водителя от управления транспортным средством должен быть непрерывным и составлять не менее 11 часов в течение периода, не превышающего 24 часов (ежедневный отдых). При достижении предельного времени управления транспортным средством </w:t>
      </w:r>
      <w:r>
        <w:t xml:space="preserve">и при отсутствии места стоянки для отдыха водитель вправе увеличить период управления транспортным </w:t>
      </w:r>
      <w:proofErr w:type="gramStart"/>
      <w:r>
        <w:t>необходимое</w:t>
      </w:r>
      <w:proofErr w:type="gramEnd"/>
      <w:r>
        <w:t xml:space="preserve"> для движения с соблюдением необходимых мер предосторожности до ближайшего места стоянки для отдыха, но не более чем на 1-2 часа, в случаях, преду</w:t>
      </w:r>
      <w:r>
        <w:t>смотренных Постановлением.</w:t>
      </w:r>
    </w:p>
    <w:p w:rsidR="00315429" w:rsidRDefault="00315429">
      <w:pPr>
        <w:rPr>
          <w:sz w:val="2"/>
          <w:szCs w:val="2"/>
        </w:rPr>
      </w:pPr>
    </w:p>
    <w:sectPr w:rsidR="00315429" w:rsidSect="003154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CF" w:rsidRDefault="00ED69CF" w:rsidP="00315429">
      <w:r>
        <w:separator/>
      </w:r>
    </w:p>
  </w:endnote>
  <w:endnote w:type="continuationSeparator" w:id="1">
    <w:p w:rsidR="00ED69CF" w:rsidRDefault="00ED69CF" w:rsidP="0031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CF" w:rsidRDefault="00ED69CF"/>
  </w:footnote>
  <w:footnote w:type="continuationSeparator" w:id="1">
    <w:p w:rsidR="00ED69CF" w:rsidRDefault="00ED69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12"/>
    <w:multiLevelType w:val="multilevel"/>
    <w:tmpl w:val="63AE7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F4A5F"/>
    <w:multiLevelType w:val="multilevel"/>
    <w:tmpl w:val="71C2BDF0"/>
    <w:lvl w:ilvl="0">
      <w:start w:val="2019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E19AC"/>
    <w:multiLevelType w:val="multilevel"/>
    <w:tmpl w:val="13588F6A"/>
    <w:lvl w:ilvl="0">
      <w:start w:val="2019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126DD"/>
    <w:multiLevelType w:val="multilevel"/>
    <w:tmpl w:val="52528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5429"/>
    <w:rsid w:val="00315429"/>
    <w:rsid w:val="00E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4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315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31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31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1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31542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">
    <w:name w:val="Основной текст1"/>
    <w:basedOn w:val="a"/>
    <w:link w:val="a4"/>
    <w:rsid w:val="00315429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22">
    <w:name w:val="Заголовок №2"/>
    <w:basedOn w:val="a"/>
    <w:link w:val="21"/>
    <w:rsid w:val="00315429"/>
    <w:pPr>
      <w:shd w:val="clear" w:color="auto" w:fill="FFFFFF"/>
      <w:spacing w:before="540" w:after="240" w:line="298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rsid w:val="00315429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11">
    <w:name w:val="Заголовок №1"/>
    <w:basedOn w:val="a"/>
    <w:link w:val="10"/>
    <w:rsid w:val="003154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4051</Words>
  <Characters>23092</Characters>
  <Application>Microsoft Office Word</Application>
  <DocSecurity>0</DocSecurity>
  <Lines>192</Lines>
  <Paragraphs>54</Paragraphs>
  <ScaleCrop>false</ScaleCrop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ivanovava</dc:creator>
  <cp:lastModifiedBy>ivanovava</cp:lastModifiedBy>
  <cp:revision>1</cp:revision>
  <dcterms:created xsi:type="dcterms:W3CDTF">2020-03-05T05:36:00Z</dcterms:created>
  <dcterms:modified xsi:type="dcterms:W3CDTF">2020-03-05T05:39:00Z</dcterms:modified>
</cp:coreProperties>
</file>