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7" w:rsidRPr="007E1E64" w:rsidRDefault="00C96737" w:rsidP="00C9673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C96737" w:rsidRDefault="00C96737" w:rsidP="00C9673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C96737" w:rsidRDefault="00C96737" w:rsidP="00C96737">
      <w:pPr>
        <w:jc w:val="center"/>
        <w:rPr>
          <w:sz w:val="12"/>
          <w:szCs w:val="12"/>
        </w:rPr>
      </w:pPr>
    </w:p>
    <w:p w:rsidR="00C96737" w:rsidRDefault="00C96737" w:rsidP="00C96737">
      <w:pPr>
        <w:jc w:val="center"/>
        <w:rPr>
          <w:sz w:val="12"/>
          <w:szCs w:val="12"/>
        </w:rPr>
      </w:pPr>
    </w:p>
    <w:p w:rsidR="00C96737" w:rsidRDefault="00C96737" w:rsidP="00C96737">
      <w:pPr>
        <w:jc w:val="center"/>
        <w:rPr>
          <w:sz w:val="12"/>
          <w:szCs w:val="12"/>
        </w:rPr>
      </w:pPr>
    </w:p>
    <w:p w:rsidR="00C96737" w:rsidRPr="003F23A3" w:rsidRDefault="00C96737" w:rsidP="00C9673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C96737" w:rsidRPr="002A439A" w:rsidRDefault="00C96737" w:rsidP="00C96737">
      <w:pPr>
        <w:rPr>
          <w:b/>
          <w:sz w:val="36"/>
          <w:szCs w:val="36"/>
        </w:rPr>
      </w:pPr>
    </w:p>
    <w:p w:rsidR="00C96737" w:rsidRPr="007E1E64" w:rsidRDefault="00C96737" w:rsidP="00C96737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C96737" w:rsidRDefault="00C96737" w:rsidP="00C96737">
      <w:pPr>
        <w:rPr>
          <w:color w:val="000000"/>
        </w:rPr>
      </w:pPr>
    </w:p>
    <w:p w:rsidR="00C96737" w:rsidRDefault="00C96737" w:rsidP="00C96737">
      <w:pPr>
        <w:rPr>
          <w:color w:val="000000"/>
        </w:rPr>
      </w:pPr>
      <w:r w:rsidRPr="00EC3B2D">
        <w:rPr>
          <w:color w:val="000000"/>
        </w:rPr>
        <w:t>от «</w:t>
      </w:r>
      <w:r w:rsidR="00426111">
        <w:rPr>
          <w:color w:val="000000"/>
        </w:rPr>
        <w:t>18</w:t>
      </w:r>
      <w:r w:rsidRPr="00EC3B2D">
        <w:rPr>
          <w:color w:val="000000"/>
        </w:rPr>
        <w:t>»</w:t>
      </w:r>
      <w:r>
        <w:rPr>
          <w:color w:val="000000"/>
        </w:rPr>
        <w:t xml:space="preserve"> </w:t>
      </w:r>
      <w:r w:rsidR="00426111">
        <w:rPr>
          <w:color w:val="000000"/>
        </w:rPr>
        <w:t xml:space="preserve">марта </w:t>
      </w:r>
      <w:r>
        <w:rPr>
          <w:color w:val="000000"/>
        </w:rPr>
        <w:t>2020</w:t>
      </w:r>
      <w:r w:rsidRPr="00EC3B2D">
        <w:rPr>
          <w:color w:val="000000"/>
        </w:rPr>
        <w:t xml:space="preserve">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 </w:t>
      </w:r>
      <w:r>
        <w:rPr>
          <w:color w:val="000000"/>
        </w:rPr>
        <w:t xml:space="preserve">                  №</w:t>
      </w:r>
      <w:r w:rsidR="00426111">
        <w:rPr>
          <w:color w:val="000000"/>
        </w:rPr>
        <w:t xml:space="preserve"> 115</w:t>
      </w:r>
    </w:p>
    <w:p w:rsidR="00C96737" w:rsidRDefault="00C96737" w:rsidP="00C96737">
      <w:pPr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70"/>
      </w:tblGrid>
      <w:tr w:rsidR="00C96737" w:rsidRPr="00100251" w:rsidTr="008C2863">
        <w:trPr>
          <w:trHeight w:val="214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96737" w:rsidRPr="00100251" w:rsidRDefault="00C96737" w:rsidP="008C2863">
            <w:pPr>
              <w:tabs>
                <w:tab w:val="left" w:pos="765"/>
                <w:tab w:val="left" w:pos="1080"/>
              </w:tabs>
              <w:jc w:val="both"/>
              <w:outlineLvl w:val="0"/>
              <w:rPr>
                <w:sz w:val="24"/>
                <w:szCs w:val="24"/>
              </w:rPr>
            </w:pPr>
            <w:r w:rsidRPr="00100251">
              <w:rPr>
                <w:sz w:val="24"/>
                <w:szCs w:val="24"/>
              </w:rPr>
              <w:t>О согласовании проекта концессионного соглашения с внесенными изменениями, с лицом, выступающим с инициативой заключения концессионного соглашения в отношении объектов по передаче и распределению электрической энергии (технологически связанного между собой оборудования электросетевого комплекса поселка Ягодное, поселка Сенокосный муниципального образования «Ягоднинский городской округ» Магаданской области), на иных условиях, чем предложено инициатором заключения соглашения</w:t>
            </w:r>
          </w:p>
        </w:tc>
      </w:tr>
    </w:tbl>
    <w:p w:rsidR="00C96737" w:rsidRDefault="00C96737" w:rsidP="00C96737">
      <w:pPr>
        <w:rPr>
          <w:sz w:val="28"/>
          <w:szCs w:val="28"/>
        </w:rPr>
      </w:pPr>
    </w:p>
    <w:p w:rsidR="00C96737" w:rsidRDefault="00C96737" w:rsidP="00C96737">
      <w:pPr>
        <w:tabs>
          <w:tab w:val="left" w:pos="765"/>
          <w:tab w:val="left" w:pos="1080"/>
        </w:tabs>
        <w:ind w:firstLine="709"/>
        <w:jc w:val="both"/>
      </w:pPr>
    </w:p>
    <w:p w:rsidR="00C96737" w:rsidRPr="00100251" w:rsidRDefault="00C96737" w:rsidP="00C96737">
      <w:pPr>
        <w:pStyle w:val="ac"/>
        <w:rPr>
          <w:szCs w:val="24"/>
        </w:rPr>
      </w:pPr>
      <w:r w:rsidRPr="00100251">
        <w:t>В соответствии с Федеральным законом от 21.07.2005 года № 115-ФЗ «О концессионных соглашениях», Федеральным законом от 26.03.2003 года № 35-ФЗ «Об электроэнергетике»,</w:t>
      </w:r>
      <w:r w:rsidRPr="00100251">
        <w:rPr>
          <w:szCs w:val="24"/>
        </w:rPr>
        <w:t xml:space="preserve"> постановлением администрации Ягоднинского городского округа от 13.02.2020 года № 57 «О возможности заключения концессионного соглашения на иных условиях, чем предложено инициатором заключения соглашения», Уставом муниципального образования «Ягоднинский городской округ» администрация Ягоднинского городского округа</w:t>
      </w:r>
    </w:p>
    <w:p w:rsidR="00C96737" w:rsidRPr="00100251" w:rsidRDefault="00C96737" w:rsidP="00C96737">
      <w:pPr>
        <w:pStyle w:val="1"/>
        <w:jc w:val="both"/>
        <w:rPr>
          <w:i/>
          <w:sz w:val="28"/>
        </w:rPr>
      </w:pPr>
    </w:p>
    <w:p w:rsidR="00C96737" w:rsidRPr="00100251" w:rsidRDefault="00C96737" w:rsidP="00C96737">
      <w:pPr>
        <w:tabs>
          <w:tab w:val="left" w:pos="765"/>
          <w:tab w:val="left" w:pos="1080"/>
        </w:tabs>
        <w:ind w:firstLine="709"/>
        <w:jc w:val="center"/>
      </w:pPr>
      <w:r w:rsidRPr="00100251">
        <w:t>ПОСТАНОВЛЯЕТ:</w:t>
      </w:r>
    </w:p>
    <w:p w:rsidR="00C96737" w:rsidRPr="00100251" w:rsidRDefault="00C96737" w:rsidP="00C96737">
      <w:pPr>
        <w:tabs>
          <w:tab w:val="left" w:pos="765"/>
          <w:tab w:val="left" w:pos="1080"/>
        </w:tabs>
        <w:ind w:firstLine="709"/>
        <w:jc w:val="both"/>
      </w:pPr>
    </w:p>
    <w:p w:rsidR="00C96737" w:rsidRPr="00100251" w:rsidRDefault="00C96737" w:rsidP="00C96737">
      <w:pPr>
        <w:numPr>
          <w:ilvl w:val="0"/>
          <w:numId w:val="1"/>
        </w:numPr>
        <w:ind w:left="0" w:firstLine="567"/>
        <w:jc w:val="both"/>
      </w:pPr>
      <w:r w:rsidRPr="00100251">
        <w:t>Согласовать проект концессионного соглашения с внесенными изменениями, с лицом, выступающим с инициативой заключения концессионного соглашения - обществом с ограниченной ответственностью «Региональные энергетические системы» в отношении объектов по передаче и распределению электрической энергии (технологически связанного между собой оборудования электросетевого комплекса поселка Ягодное, поселка Сенокосный муниципального образования «Ягоднинский городской округ» Магаданской области), на иных условиях, чем предложено инициатором заключения соглашения.</w:t>
      </w:r>
    </w:p>
    <w:p w:rsidR="00C96737" w:rsidRPr="00100251" w:rsidRDefault="00C96737" w:rsidP="00C96737">
      <w:pPr>
        <w:numPr>
          <w:ilvl w:val="0"/>
          <w:numId w:val="1"/>
        </w:numPr>
        <w:ind w:left="0" w:firstLine="567"/>
        <w:jc w:val="both"/>
      </w:pPr>
      <w:r w:rsidRPr="00100251">
        <w:t>Комитету по управлению муниципальным имуществом администрации Ягоднинского городского округа:</w:t>
      </w:r>
    </w:p>
    <w:p w:rsidR="00C96737" w:rsidRPr="00100251" w:rsidRDefault="00C96737" w:rsidP="00C96737">
      <w:pPr>
        <w:ind w:firstLine="567"/>
        <w:jc w:val="both"/>
      </w:pPr>
      <w:r w:rsidRPr="00100251">
        <w:t>2.1. Разместить в десятидневный срок со дня вступления в силу настоящего постановления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100251">
        <w:rPr>
          <w:rStyle w:val="apple-converted-space"/>
        </w:rPr>
        <w:t xml:space="preserve"> частью 4.1 статьи 37 </w:t>
      </w:r>
      <w:r w:rsidRPr="00100251">
        <w:t>Федерального закона от 21.07.2005 года № 115-ФЗ «О концессионных соглашениях», к лицу, выступающему с инициативой заключения концессионного соглашения (Приложение № 1).</w:t>
      </w:r>
    </w:p>
    <w:p w:rsidR="00C96737" w:rsidRPr="00100251" w:rsidRDefault="00C96737" w:rsidP="00C96737">
      <w:pPr>
        <w:ind w:firstLine="567"/>
        <w:jc w:val="both"/>
      </w:pPr>
      <w:r w:rsidRPr="00100251">
        <w:lastRenderedPageBreak/>
        <w:t>2.2. Определить порядок принятия заявок о готовности к участию в конкурсе на право заключения концессионного соглашения в отношении объектов по передаче и распределению электрической энергии (технологически связанного между собой оборудования электросетевого комплекса поселка Ягодное, поселка Сенокосный муниципального образования «Ягоднинский городской округ» Магаданской области) на условиях, определенных в предложении о заключении концессионного соглашения в отношении объекта концессионного соглашения, от иных лиц (Приложение № 2).</w:t>
      </w:r>
    </w:p>
    <w:p w:rsidR="00C96737" w:rsidRPr="00100251" w:rsidRDefault="00C96737" w:rsidP="00C96737">
      <w:pPr>
        <w:ind w:firstLine="567"/>
        <w:jc w:val="both"/>
      </w:pPr>
      <w:r w:rsidRPr="00100251">
        <w:t xml:space="preserve">3.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9" w:history="1">
        <w:r w:rsidRPr="00100251">
          <w:rPr>
            <w:rStyle w:val="a3"/>
          </w:rPr>
          <w:t>h</w:t>
        </w:r>
        <w:r w:rsidRPr="00100251">
          <w:rPr>
            <w:rStyle w:val="a3"/>
            <w:lang w:val="en-US"/>
          </w:rPr>
          <w:t>ttp</w:t>
        </w:r>
        <w:r w:rsidRPr="00100251">
          <w:rPr>
            <w:rStyle w:val="a3"/>
          </w:rPr>
          <w:t>://</w:t>
        </w:r>
        <w:r w:rsidRPr="00100251">
          <w:rPr>
            <w:rStyle w:val="a3"/>
            <w:lang w:val="en-US"/>
          </w:rPr>
          <w:t>yagodnoeadm</w:t>
        </w:r>
        <w:r w:rsidRPr="00100251">
          <w:rPr>
            <w:rStyle w:val="a3"/>
          </w:rPr>
          <w:t>.</w:t>
        </w:r>
        <w:r w:rsidRPr="00100251">
          <w:rPr>
            <w:rStyle w:val="a3"/>
            <w:lang w:val="en-US"/>
          </w:rPr>
          <w:t>ru</w:t>
        </w:r>
      </w:hyperlink>
      <w:r w:rsidRPr="00100251">
        <w:t>.</w:t>
      </w:r>
    </w:p>
    <w:p w:rsidR="00C96737" w:rsidRPr="00100251" w:rsidRDefault="00C96737" w:rsidP="00C96737">
      <w:pPr>
        <w:ind w:firstLine="567"/>
        <w:jc w:val="both"/>
      </w:pPr>
      <w:r w:rsidRPr="00100251">
        <w:t>4. Настоящее постановление вступает в силу со дня его подписания.</w:t>
      </w:r>
    </w:p>
    <w:p w:rsidR="00C96737" w:rsidRPr="00100251" w:rsidRDefault="00C96737" w:rsidP="00C96737">
      <w:pPr>
        <w:ind w:firstLine="567"/>
        <w:jc w:val="both"/>
      </w:pPr>
      <w:r w:rsidRPr="00100251">
        <w:t>5. Контроль за исполнением настоящего постановления возложить на первого заместителя главы администрации Ягоднинского городского округа Макарова С.В.</w:t>
      </w:r>
    </w:p>
    <w:p w:rsidR="00C96737" w:rsidRPr="00100251" w:rsidRDefault="00C96737" w:rsidP="00C96737"/>
    <w:p w:rsidR="00C96737" w:rsidRPr="00100251" w:rsidRDefault="00C96737" w:rsidP="00C96737"/>
    <w:p w:rsidR="00C96737" w:rsidRPr="00100251" w:rsidRDefault="00C96737" w:rsidP="00C96737">
      <w:pPr>
        <w:spacing w:line="240" w:lineRule="atLeast"/>
        <w:jc w:val="both"/>
      </w:pPr>
      <w:r w:rsidRPr="00100251">
        <w:t>Глава Ягоднинского</w:t>
      </w:r>
    </w:p>
    <w:p w:rsidR="00C96737" w:rsidRPr="0051333E" w:rsidRDefault="00C96737" w:rsidP="00C96737">
      <w:pPr>
        <w:spacing w:line="240" w:lineRule="atLeast"/>
        <w:jc w:val="both"/>
      </w:pPr>
      <w:r w:rsidRPr="00100251">
        <w:t>городского округа                                                                                                         Д.М. Бородин</w:t>
      </w:r>
      <w:r w:rsidRPr="0051333E">
        <w:t xml:space="preserve"> </w:t>
      </w:r>
    </w:p>
    <w:p w:rsidR="00C96737" w:rsidRDefault="00C96737" w:rsidP="00C96737"/>
    <w:p w:rsidR="00C96737" w:rsidRPr="00B53317" w:rsidRDefault="00C96737" w:rsidP="00C96737"/>
    <w:p w:rsidR="00C96737" w:rsidRPr="00967799" w:rsidRDefault="00C96737" w:rsidP="00C96737">
      <w:pPr>
        <w:ind w:firstLine="708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p w:rsidR="00C96737" w:rsidRDefault="00C96737" w:rsidP="00C96737">
      <w:pPr>
        <w:ind w:left="6844"/>
        <w:jc w:val="right"/>
      </w:pPr>
    </w:p>
    <w:tbl>
      <w:tblPr>
        <w:tblW w:w="3828" w:type="dxa"/>
        <w:tblInd w:w="6345" w:type="dxa"/>
        <w:tblLook w:val="04A0"/>
      </w:tblPr>
      <w:tblGrid>
        <w:gridCol w:w="3828"/>
      </w:tblGrid>
      <w:tr w:rsidR="00C96737" w:rsidRPr="00662C0A" w:rsidTr="008C2863">
        <w:tc>
          <w:tcPr>
            <w:tcW w:w="3828" w:type="dxa"/>
          </w:tcPr>
          <w:p w:rsidR="00C96737" w:rsidRDefault="00C96737" w:rsidP="008C2863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</w:p>
          <w:p w:rsidR="00C96737" w:rsidRDefault="00C96737" w:rsidP="008C2863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426111">
              <w:rPr>
                <w:sz w:val="22"/>
                <w:szCs w:val="22"/>
              </w:rPr>
              <w:t>18 марта</w:t>
            </w:r>
            <w:r>
              <w:rPr>
                <w:sz w:val="22"/>
                <w:szCs w:val="22"/>
              </w:rPr>
              <w:t xml:space="preserve">2020  года </w:t>
            </w:r>
            <w:r w:rsidRPr="00A00736">
              <w:rPr>
                <w:sz w:val="22"/>
                <w:szCs w:val="22"/>
              </w:rPr>
              <w:t xml:space="preserve">№ </w:t>
            </w:r>
            <w:r w:rsidR="00426111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 xml:space="preserve">        </w:t>
            </w:r>
            <w:r w:rsidRPr="00A00736">
              <w:rPr>
                <w:sz w:val="22"/>
                <w:szCs w:val="22"/>
              </w:rPr>
              <w:t xml:space="preserve"> </w:t>
            </w:r>
          </w:p>
          <w:p w:rsidR="00C96737" w:rsidRPr="00A00736" w:rsidRDefault="00C96737" w:rsidP="008C2863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C96737" w:rsidRDefault="00C96737" w:rsidP="00C96737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C96737" w:rsidRPr="00AE7DF9" w:rsidRDefault="00C96737" w:rsidP="00C9673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Pr="00116D9D">
        <w:rPr>
          <w:rFonts w:ascii="Times New Roman" w:hAnsi="Times New Roman" w:cs="Times New Roman"/>
          <w:b/>
          <w:sz w:val="24"/>
          <w:szCs w:val="24"/>
        </w:rPr>
        <w:t xml:space="preserve"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</w:t>
      </w:r>
      <w:r w:rsidRPr="001318F9">
        <w:rPr>
          <w:rFonts w:ascii="Times New Roman" w:hAnsi="Times New Roman" w:cs="Times New Roman"/>
          <w:b/>
          <w:sz w:val="24"/>
          <w:szCs w:val="24"/>
        </w:rPr>
        <w:t>в проекте концессионного соглашения</w:t>
      </w:r>
      <w:r w:rsidRPr="00116D9D">
        <w:rPr>
          <w:rFonts w:ascii="Times New Roman" w:hAnsi="Times New Roman" w:cs="Times New Roman"/>
          <w:b/>
          <w:sz w:val="24"/>
          <w:szCs w:val="24"/>
        </w:rPr>
        <w:t xml:space="preserve">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частью </w:t>
      </w:r>
      <w:r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 </w:t>
      </w:r>
      <w:r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C96737" w:rsidRDefault="00C96737" w:rsidP="00C96737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C96737" w:rsidRPr="003479F0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>В соответствии с пунктом 4.</w:t>
      </w:r>
      <w:r>
        <w:t>8</w:t>
      </w:r>
      <w:r w:rsidRPr="00335548">
        <w:t xml:space="preserve">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>
        <w:t xml:space="preserve"> </w:t>
      </w:r>
      <w:r w:rsidRPr="001B3AD6">
        <w:t>от 21.07.2005 года</w:t>
      </w:r>
      <w:r>
        <w:rPr>
          <w:b/>
        </w:rPr>
        <w:t xml:space="preserve"> </w:t>
      </w:r>
      <w:r w:rsidRPr="00335548">
        <w:t>№</w:t>
      </w:r>
      <w:r w:rsidRPr="00AE7DF9">
        <w:t xml:space="preserve"> 115-ФЗ</w:t>
      </w:r>
      <w:r w:rsidRPr="00335548">
        <w:t xml:space="preserve"> «</w:t>
      </w:r>
      <w:r w:rsidRPr="00AE7DF9">
        <w:t>О концессионных</w:t>
      </w:r>
      <w:r>
        <w:t xml:space="preserve"> </w:t>
      </w:r>
      <w:r w:rsidRPr="00AE7DF9">
        <w:t>соглашениях</w:t>
      </w:r>
      <w:r w:rsidRPr="00335548">
        <w:t>»</w:t>
      </w:r>
      <w:r>
        <w:t xml:space="preserve"> а</w:t>
      </w:r>
      <w:r w:rsidRPr="00335548">
        <w:t xml:space="preserve">дминистрация </w:t>
      </w:r>
      <w:r>
        <w:t>Ягоднинского городского</w:t>
      </w:r>
      <w:r w:rsidRPr="00AA28DD">
        <w:t xml:space="preserve"> округ</w:t>
      </w:r>
      <w:r>
        <w:t xml:space="preserve">а </w:t>
      </w:r>
      <w:r w:rsidRPr="00335548">
        <w:t xml:space="preserve">информирует о </w:t>
      </w:r>
      <w:r>
        <w:t xml:space="preserve">принятии </w:t>
      </w:r>
      <w:r w:rsidRPr="003479F0">
        <w:t>заяв</w:t>
      </w:r>
      <w:r>
        <w:t>ок</w:t>
      </w:r>
      <w:r w:rsidRPr="003479F0">
        <w:t xml:space="preserve"> о готовности к участию в конкурсе</w:t>
      </w:r>
      <w:r>
        <w:t xml:space="preserve"> </w:t>
      </w:r>
      <w:r w:rsidRPr="003479F0">
        <w:t>на</w:t>
      </w:r>
      <w:r>
        <w:t xml:space="preserve"> </w:t>
      </w:r>
      <w:r w:rsidRPr="003479F0">
        <w:t>право</w:t>
      </w:r>
      <w:r>
        <w:t xml:space="preserve"> </w:t>
      </w:r>
      <w:r w:rsidRPr="003479F0">
        <w:t>заключения</w:t>
      </w:r>
      <w:r>
        <w:t xml:space="preserve"> </w:t>
      </w:r>
      <w:r w:rsidRPr="003479F0">
        <w:t>концессионного</w:t>
      </w:r>
      <w:r>
        <w:t xml:space="preserve"> </w:t>
      </w:r>
      <w:r w:rsidRPr="003479F0">
        <w:t>соглашения</w:t>
      </w:r>
      <w:r>
        <w:t xml:space="preserve"> </w:t>
      </w:r>
      <w:r w:rsidRPr="003479F0">
        <w:t>на</w:t>
      </w:r>
      <w:r>
        <w:t xml:space="preserve"> </w:t>
      </w:r>
      <w:r w:rsidRPr="003479F0">
        <w:t>условиях, предусмотренных в предложении</w:t>
      </w:r>
      <w:r>
        <w:t xml:space="preserve"> </w:t>
      </w:r>
      <w:r w:rsidRPr="003479F0">
        <w:t>лица, выступившего с инициативой</w:t>
      </w:r>
      <w:r>
        <w:t xml:space="preserve"> </w:t>
      </w:r>
      <w:r w:rsidRPr="003479F0">
        <w:t>заключения</w:t>
      </w:r>
      <w:r>
        <w:t xml:space="preserve"> </w:t>
      </w:r>
      <w:r w:rsidRPr="003479F0">
        <w:t>концессионного</w:t>
      </w:r>
      <w:r>
        <w:t xml:space="preserve"> </w:t>
      </w:r>
      <w:r w:rsidRPr="003479F0">
        <w:t>соглашения.</w:t>
      </w:r>
    </w:p>
    <w:p w:rsidR="00C96737" w:rsidRPr="00252E6D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  <w:r>
        <w:t>З</w:t>
      </w:r>
      <w:r w:rsidRPr="003479F0">
        <w:t>аявки</w:t>
      </w:r>
      <w:r>
        <w:t xml:space="preserve"> </w:t>
      </w:r>
      <w:r w:rsidRPr="003479F0">
        <w:t>принимаются</w:t>
      </w:r>
      <w:r>
        <w:t xml:space="preserve"> </w:t>
      </w:r>
      <w:r w:rsidRPr="003479F0">
        <w:t>по</w:t>
      </w:r>
      <w:r>
        <w:t xml:space="preserve"> </w:t>
      </w:r>
      <w:r w:rsidRPr="003479F0">
        <w:t>месту</w:t>
      </w:r>
      <w:r>
        <w:t xml:space="preserve"> </w:t>
      </w:r>
      <w:r w:rsidRPr="003479F0">
        <w:t>нахождения</w:t>
      </w:r>
      <w:r>
        <w:t xml:space="preserve"> К</w:t>
      </w:r>
      <w:r w:rsidRPr="003479F0">
        <w:t>онцедента в течение 45 (сорока</w:t>
      </w:r>
      <w:r>
        <w:t xml:space="preserve"> </w:t>
      </w:r>
      <w:r w:rsidRPr="003479F0">
        <w:t>пяти) дней с момента</w:t>
      </w:r>
      <w:r>
        <w:t xml:space="preserve"> </w:t>
      </w:r>
      <w:r w:rsidRPr="003479F0">
        <w:t>размещения</w:t>
      </w:r>
      <w:r>
        <w:t xml:space="preserve"> </w:t>
      </w:r>
      <w:r w:rsidRPr="003479F0">
        <w:t>информации</w:t>
      </w:r>
      <w:r>
        <w:t xml:space="preserve"> на официальном сайте </w:t>
      </w:r>
      <w:r w:rsidRPr="0067448C">
        <w:t>в информаци</w:t>
      </w:r>
      <w:r>
        <w:t>онно-телекоммуникационной сети «Интернет»</w:t>
      </w:r>
      <w:r w:rsidRPr="0067448C">
        <w:t xml:space="preserve"> для размещения </w:t>
      </w:r>
      <w:r w:rsidRPr="00EC3B2D">
        <w:t>информации о проведении торгов, определенном Правительством Российской Федерации -</w:t>
      </w:r>
      <w:hyperlink r:id="rId10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torgi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gov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ru</w:t>
        </w:r>
      </w:hyperlink>
      <w:r w:rsidRPr="00EC3B2D">
        <w:t xml:space="preserve">, с 9-00 </w:t>
      </w:r>
      <w:r w:rsidRPr="00252E6D">
        <w:t>часов 1</w:t>
      </w:r>
      <w:r>
        <w:t>9</w:t>
      </w:r>
      <w:r w:rsidRPr="00252E6D">
        <w:t xml:space="preserve">.03.2020 года по 18-15 часов </w:t>
      </w:r>
      <w:r>
        <w:t>02.05</w:t>
      </w:r>
      <w:r w:rsidRPr="00252E6D">
        <w:t>.2020</w:t>
      </w:r>
      <w:r w:rsidRPr="00247291">
        <w:rPr>
          <w:color w:val="FF0000"/>
        </w:rPr>
        <w:t xml:space="preserve"> </w:t>
      </w:r>
      <w:r w:rsidRPr="00252E6D">
        <w:t>года.</w:t>
      </w:r>
    </w:p>
    <w:p w:rsidR="00C96737" w:rsidRPr="00A07BFD" w:rsidRDefault="00C96737" w:rsidP="00C96737">
      <w:pPr>
        <w:widowControl w:val="0"/>
        <w:autoSpaceDE w:val="0"/>
        <w:autoSpaceDN w:val="0"/>
        <w:adjustRightInd w:val="0"/>
        <w:jc w:val="both"/>
      </w:pP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Pr="003B1B4F">
        <w:t>Муниципальное образовани</w:t>
      </w:r>
      <w:r>
        <w:t>е «Ягоднинский городской округ»</w:t>
      </w:r>
      <w:r w:rsidRPr="003B1B4F">
        <w:t>, от имени которого выступает Администрация Ягоднинского городского округа.</w:t>
      </w: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Pr="000E7EBC" w:rsidRDefault="00C96737" w:rsidP="00C96737">
      <w:pPr>
        <w:ind w:firstLine="547"/>
        <w:jc w:val="both"/>
      </w:pPr>
      <w:r w:rsidRPr="003479F0">
        <w:t>Адрес</w:t>
      </w:r>
      <w:r>
        <w:t xml:space="preserve"> </w:t>
      </w:r>
      <w:r w:rsidRPr="003479F0">
        <w:t xml:space="preserve">(местонахождения): </w:t>
      </w:r>
      <w:r w:rsidRPr="000E7EBC">
        <w:t>686230</w:t>
      </w:r>
      <w:r>
        <w:t xml:space="preserve">, Магаданская область, Ягоднинский район, </w:t>
      </w:r>
      <w:r w:rsidRPr="000E7EBC">
        <w:t>пос.</w:t>
      </w:r>
      <w:r>
        <w:t xml:space="preserve"> </w:t>
      </w:r>
      <w:r w:rsidRPr="000E7EBC">
        <w:t>Ягодное, ул.</w:t>
      </w:r>
      <w:r>
        <w:t xml:space="preserve"> </w:t>
      </w:r>
      <w:r w:rsidRPr="000E7EBC">
        <w:t>Спортивная, дом 6</w:t>
      </w:r>
      <w:r>
        <w:t>, т</w:t>
      </w:r>
      <w:r w:rsidRPr="000E7EBC">
        <w:t xml:space="preserve">ел.: 8413 (43) </w:t>
      </w:r>
      <w:r>
        <w:t>2-25-97</w:t>
      </w:r>
      <w:r w:rsidRPr="000E7EBC">
        <w:t>, факс 8413 (43) 2-20-42</w:t>
      </w:r>
      <w:r>
        <w:t>.</w:t>
      </w:r>
    </w:p>
    <w:p w:rsidR="00C96737" w:rsidRPr="003479F0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>
        <w:t xml:space="preserve"> </w:t>
      </w:r>
      <w:r w:rsidRPr="00AE7DF9">
        <w:t>сайт:</w:t>
      </w:r>
      <w:r>
        <w:rPr>
          <w:lang w:val="en-US"/>
        </w:rPr>
        <w:t>www</w:t>
      </w:r>
      <w:r>
        <w:t>.</w:t>
      </w:r>
      <w:r w:rsidRPr="00056DFA">
        <w:rPr>
          <w:lang w:val="en-US"/>
        </w:rPr>
        <w:t>yagodnoeadm</w:t>
      </w:r>
      <w:r w:rsidRPr="00AE7DF9">
        <w:t>.</w:t>
      </w:r>
      <w:r w:rsidRPr="00056DFA">
        <w:rPr>
          <w:lang w:val="en-US"/>
        </w:rPr>
        <w:t>ru</w:t>
      </w: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>
        <w:t xml:space="preserve"> </w:t>
      </w:r>
      <w:r w:rsidRPr="00AE7DF9">
        <w:t>почты:</w:t>
      </w:r>
      <w:r>
        <w:t xml:space="preserve"> </w:t>
      </w:r>
      <w:hyperlink r:id="rId11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>
        <w:t xml:space="preserve"> </w:t>
      </w:r>
      <w:r w:rsidRPr="00AE7DF9">
        <w:t xml:space="preserve">лица: </w:t>
      </w:r>
      <w:r w:rsidRPr="00EC3B2D">
        <w:t xml:space="preserve">руководитель Комитета по управлению муниципальным имуществом администрации Ягоднинского городского округа </w:t>
      </w:r>
      <w:r>
        <w:t>Мирошниченко Вячеслав Евгеньевич</w:t>
      </w:r>
      <w:r w:rsidRPr="00EC3B2D">
        <w:t>.</w:t>
      </w:r>
    </w:p>
    <w:p w:rsidR="00C96737" w:rsidRPr="00AE7DF9" w:rsidRDefault="00C96737" w:rsidP="00C96737">
      <w:pPr>
        <w:widowControl w:val="0"/>
        <w:autoSpaceDE w:val="0"/>
        <w:autoSpaceDN w:val="0"/>
        <w:adjustRightInd w:val="0"/>
        <w:ind w:firstLine="547"/>
        <w:jc w:val="both"/>
      </w:pPr>
    </w:p>
    <w:p w:rsidR="00C96737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Контактный</w:t>
      </w:r>
      <w:r>
        <w:t xml:space="preserve"> </w:t>
      </w:r>
      <w:r w:rsidRPr="00AE7DF9">
        <w:t>телефон:</w:t>
      </w:r>
      <w:r w:rsidRPr="000E7EBC">
        <w:t>8413 (43) 2-2</w:t>
      </w:r>
      <w:r>
        <w:t>5-97.</w:t>
      </w:r>
    </w:p>
    <w:p w:rsidR="00C96737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C96737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B5062" w:rsidRDefault="003B506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96737" w:rsidRDefault="00C9673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247291" w:rsidRDefault="00247291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CA0194" w:rsidRDefault="00CA0194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5548" w:rsidRPr="00AE7DF9" w:rsidRDefault="00CA0194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Условия </w:t>
      </w:r>
      <w:r w:rsidR="00335548" w:rsidRPr="004D300E">
        <w:rPr>
          <w:b/>
        </w:rPr>
        <w:t>концессионного соглашения</w:t>
      </w:r>
      <w:r w:rsidR="004D300E" w:rsidRPr="004D300E">
        <w:rPr>
          <w:b/>
        </w:rPr>
        <w:t xml:space="preserve">, </w:t>
      </w:r>
      <w:r w:rsidR="004D300E" w:rsidRPr="00AE7DF9">
        <w:rPr>
          <w:b/>
        </w:rPr>
        <w:t>предусмотренны</w:t>
      </w:r>
      <w:r w:rsidR="004D300E" w:rsidRPr="004D300E">
        <w:rPr>
          <w:b/>
        </w:rPr>
        <w:t>е</w:t>
      </w:r>
      <w:r w:rsidR="004D300E" w:rsidRPr="00AE7DF9">
        <w:rPr>
          <w:b/>
        </w:rPr>
        <w:t xml:space="preserve"> в предложении</w:t>
      </w:r>
      <w:r w:rsidR="00AE7DF9">
        <w:rPr>
          <w:b/>
        </w:rPr>
        <w:t xml:space="preserve"> </w:t>
      </w:r>
      <w:r w:rsidR="004D300E" w:rsidRPr="00AE7DF9">
        <w:rPr>
          <w:b/>
        </w:rPr>
        <w:t>лица, выступившего с инициативой</w:t>
      </w:r>
      <w:r w:rsidR="00AE7DF9">
        <w:rPr>
          <w:b/>
        </w:rPr>
        <w:t xml:space="preserve"> </w:t>
      </w:r>
      <w:r w:rsidR="004D300E" w:rsidRPr="00AE7DF9">
        <w:rPr>
          <w:b/>
        </w:rPr>
        <w:t>заключения</w:t>
      </w:r>
      <w:r w:rsidR="00AE7DF9">
        <w:rPr>
          <w:b/>
        </w:rPr>
        <w:t xml:space="preserve"> </w:t>
      </w:r>
      <w:r w:rsidR="004D300E" w:rsidRPr="00AE7DF9">
        <w:rPr>
          <w:b/>
        </w:rPr>
        <w:t>концессионного</w:t>
      </w:r>
      <w:r w:rsidR="00AE7DF9">
        <w:rPr>
          <w:b/>
        </w:rPr>
        <w:t xml:space="preserve"> </w:t>
      </w:r>
      <w:r w:rsidR="004D300E" w:rsidRPr="00AE7DF9">
        <w:rPr>
          <w:b/>
        </w:rPr>
        <w:t>соглашения</w:t>
      </w:r>
    </w:p>
    <w:p w:rsidR="00DD1F47" w:rsidRDefault="00DD1F47" w:rsidP="004D300E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8"/>
        <w:tblW w:w="9661" w:type="dxa"/>
        <w:jc w:val="center"/>
        <w:tblLayout w:type="fixed"/>
        <w:tblLook w:val="04A0"/>
      </w:tblPr>
      <w:tblGrid>
        <w:gridCol w:w="447"/>
        <w:gridCol w:w="4536"/>
        <w:gridCol w:w="4678"/>
      </w:tblGrid>
      <w:tr w:rsidR="00BF6391" w:rsidRPr="003F0169" w:rsidTr="00E709F1">
        <w:trPr>
          <w:trHeight w:val="2144"/>
          <w:jc w:val="center"/>
        </w:trPr>
        <w:tc>
          <w:tcPr>
            <w:tcW w:w="447" w:type="dxa"/>
            <w:vAlign w:val="center"/>
          </w:tcPr>
          <w:p w:rsidR="00BF6391" w:rsidRPr="003F0169" w:rsidRDefault="00DD1F47" w:rsidP="00E709F1">
            <w:pPr>
              <w:jc w:val="both"/>
            </w:pPr>
            <w:r w:rsidRPr="003F0169">
              <w:t>1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r w:rsidRPr="003F0169">
              <w:t>Объект концессионного соглашения</w:t>
            </w:r>
          </w:p>
        </w:tc>
        <w:tc>
          <w:tcPr>
            <w:tcW w:w="4678" w:type="dxa"/>
            <w:vAlign w:val="center"/>
          </w:tcPr>
          <w:p w:rsidR="00BF6391" w:rsidRPr="00AE7DF9" w:rsidRDefault="00CA0194" w:rsidP="00CA01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70D7">
              <w:rPr>
                <w:rFonts w:ascii="Times New Roman" w:hAnsi="Times New Roman" w:cs="Times New Roman"/>
              </w:rPr>
              <w:t>Объекты по передаче и распределению электрической энергии (технологически связанное между собой оборудование электросетевого комплекса поселка Ягодное, поселка Сенокосный муниципального образования «Ягоднинский городской округ» Магаданской области</w:t>
            </w:r>
            <w:r w:rsidR="00A35DD9" w:rsidRPr="005D70D7">
              <w:rPr>
                <w:rFonts w:ascii="Times New Roman" w:hAnsi="Times New Roman" w:cs="Times New Roman"/>
              </w:rPr>
              <w:t xml:space="preserve"> </w:t>
            </w:r>
            <w:r w:rsidR="00FC2B99" w:rsidRPr="005D70D7">
              <w:rPr>
                <w:rFonts w:ascii="Times New Roman" w:hAnsi="Times New Roman" w:cs="Times New Roman"/>
              </w:rPr>
              <w:t>Согласно Информации об</w:t>
            </w:r>
            <w:r w:rsidR="003001BE" w:rsidRPr="005D70D7">
              <w:rPr>
                <w:rFonts w:ascii="Times New Roman" w:hAnsi="Times New Roman" w:cs="Times New Roman"/>
              </w:rPr>
              <w:t xml:space="preserve"> </w:t>
            </w:r>
            <w:r w:rsidR="00FC2B99" w:rsidRPr="005D70D7">
              <w:rPr>
                <w:rFonts w:ascii="Times New Roman" w:hAnsi="Times New Roman" w:cs="Times New Roman"/>
                <w:bCs/>
                <w:color w:val="000000"/>
              </w:rPr>
              <w:t>объекте концессионного</w:t>
            </w:r>
            <w:r w:rsidR="00FC2B99">
              <w:rPr>
                <w:rFonts w:ascii="Times New Roman" w:hAnsi="Times New Roman" w:cs="Times New Roman"/>
                <w:bCs/>
                <w:color w:val="000000"/>
              </w:rPr>
              <w:t xml:space="preserve"> соглашения </w:t>
            </w:r>
            <w:r w:rsidR="00FC2B99"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3F0169">
        <w:trPr>
          <w:trHeight w:val="1405"/>
          <w:jc w:val="center"/>
        </w:trPr>
        <w:tc>
          <w:tcPr>
            <w:tcW w:w="447" w:type="dxa"/>
            <w:vAlign w:val="center"/>
          </w:tcPr>
          <w:p w:rsidR="00335548" w:rsidRPr="003F0169" w:rsidRDefault="00DD1F47" w:rsidP="00E709F1">
            <w:pPr>
              <w:jc w:val="both"/>
            </w:pPr>
            <w:r w:rsidRPr="003F0169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 xml:space="preserve">Обязательства концессионера по </w:t>
            </w:r>
            <w:r w:rsidR="000C2C6F" w:rsidRPr="003F0169">
              <w:t>созданию</w:t>
            </w:r>
            <w:r w:rsidR="007A78A4">
              <w:t xml:space="preserve"> и реконструкции</w:t>
            </w:r>
            <w:r w:rsidRPr="003F0169">
              <w:t xml:space="preserve"> об</w:t>
            </w:r>
            <w:r w:rsidR="00BF6391" w:rsidRPr="003F0169">
              <w:t>ъекта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Pr="001975A5" w:rsidRDefault="00335548" w:rsidP="00E709F1">
            <w:r w:rsidRPr="001975A5">
              <w:t xml:space="preserve">Объем инвестиций концессионера в </w:t>
            </w:r>
            <w:r w:rsidR="00CE6DDB" w:rsidRPr="001975A5">
              <w:t>создание</w:t>
            </w:r>
            <w:r w:rsidR="007A78A4">
              <w:t xml:space="preserve"> и реконструкцию</w:t>
            </w:r>
            <w:r w:rsidRPr="001975A5">
              <w:t xml:space="preserve"> объекта концессионного соглашения должен составлять не менее </w:t>
            </w:r>
            <w:r w:rsidR="0002774A">
              <w:t>48 385 872,53</w:t>
            </w:r>
            <w:r w:rsidR="00863BC2" w:rsidRPr="001975A5">
              <w:t xml:space="preserve"> </w:t>
            </w:r>
            <w:r w:rsidR="0064302B" w:rsidRPr="001975A5">
              <w:t>рубля</w:t>
            </w:r>
            <w:r w:rsidR="001975A5" w:rsidRPr="001975A5">
              <w:t xml:space="preserve"> (</w:t>
            </w:r>
            <w:r w:rsidR="0002774A">
              <w:t>сорок восемь</w:t>
            </w:r>
            <w:r w:rsidR="00F16942">
              <w:t xml:space="preserve"> миллионов триста восемьдесят пять тысяч восемьсот семьдесят два рубля 53</w:t>
            </w:r>
            <w:r w:rsidR="00863BC2">
              <w:t xml:space="preserve"> копейки</w:t>
            </w:r>
            <w:r w:rsidR="001975A5" w:rsidRPr="001975A5">
              <w:t xml:space="preserve">) </w:t>
            </w:r>
            <w:r w:rsidR="00CE6DDB" w:rsidRPr="001975A5">
              <w:t>(без учета</w:t>
            </w:r>
            <w:r w:rsidR="00DF7EDB" w:rsidRPr="001975A5">
              <w:t xml:space="preserve"> НДС).</w:t>
            </w:r>
          </w:p>
          <w:p w:rsidR="00335548" w:rsidRPr="003F0169" w:rsidRDefault="00871668" w:rsidP="00E709F1">
            <w:r w:rsidRPr="001975A5">
              <w:t xml:space="preserve">Согласно Информации об </w:t>
            </w:r>
            <w:r w:rsidRPr="001975A5">
              <w:rPr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color w:val="000000"/>
              </w:rPr>
              <w:t>&lt;1&gt;</w:t>
            </w:r>
          </w:p>
        </w:tc>
      </w:tr>
      <w:tr w:rsidR="007047A3" w:rsidRPr="003F0169" w:rsidTr="003F0169">
        <w:trPr>
          <w:trHeight w:val="1553"/>
          <w:jc w:val="center"/>
        </w:trPr>
        <w:tc>
          <w:tcPr>
            <w:tcW w:w="447" w:type="dxa"/>
            <w:vAlign w:val="center"/>
          </w:tcPr>
          <w:p w:rsidR="007047A3" w:rsidRPr="003F0169" w:rsidRDefault="007047A3" w:rsidP="00E709F1">
            <w:pPr>
              <w:jc w:val="both"/>
            </w:pPr>
            <w:r w:rsidRPr="003F0169">
              <w:t>3</w:t>
            </w:r>
          </w:p>
        </w:tc>
        <w:tc>
          <w:tcPr>
            <w:tcW w:w="4536" w:type="dxa"/>
            <w:vAlign w:val="center"/>
          </w:tcPr>
          <w:p w:rsidR="007047A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</w:t>
            </w:r>
            <w:r w:rsidR="007047A3" w:rsidRPr="003F0169">
              <w:t>онцессионера по разработке проектной документации</w:t>
            </w:r>
          </w:p>
        </w:tc>
        <w:tc>
          <w:tcPr>
            <w:tcW w:w="4678" w:type="dxa"/>
            <w:vAlign w:val="center"/>
          </w:tcPr>
          <w:p w:rsidR="007047A3" w:rsidRDefault="00F744AC" w:rsidP="00622ECE">
            <w:r w:rsidRPr="00622ECE">
              <w:t xml:space="preserve">Концессионер обязан </w:t>
            </w:r>
            <w:r w:rsidR="00622ECE" w:rsidRPr="00622ECE">
              <w:t>в срок до начала работ по созданию и реконструкции объекта Соглашения (недвижимого имущества, входящего в состав объекта Соглашения) за свой счет разработать и передать Концеденту проектную документацию, необходимую для создания и реконструкции недвижимого имущества, входящего в состав объекта Соглашения</w:t>
            </w:r>
            <w:r w:rsidR="00ED630C">
              <w:t>.</w:t>
            </w:r>
          </w:p>
          <w:p w:rsidR="00ED630C" w:rsidRDefault="00ED630C" w:rsidP="00622ECE"/>
          <w:p w:rsidR="00ED630C" w:rsidRPr="00622ECE" w:rsidRDefault="00ED630C" w:rsidP="00622ECE"/>
        </w:tc>
      </w:tr>
      <w:tr w:rsidR="00F11643" w:rsidRPr="003F0169" w:rsidTr="00E709F1">
        <w:trPr>
          <w:trHeight w:val="4424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t>4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передаче концессионеру объектов концессионного соглашения</w:t>
            </w:r>
            <w:r w:rsidR="001C0961">
              <w:t xml:space="preserve"> </w:t>
            </w:r>
          </w:p>
        </w:tc>
        <w:tc>
          <w:tcPr>
            <w:tcW w:w="4678" w:type="dxa"/>
            <w:vAlign w:val="center"/>
          </w:tcPr>
          <w:p w:rsidR="001C0961" w:rsidRPr="00EC3B2D" w:rsidRDefault="001C0961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реконструируемое недвижимое имущество, входящее в состав объекта концессионного соглашения, не позднее </w:t>
            </w:r>
            <w:r w:rsidR="00622ECE">
              <w:rPr>
                <w:rFonts w:ascii="Times New Roman" w:hAnsi="Times New Roman" w:cs="Times New Roman"/>
                <w:color w:val="000000" w:themeColor="text1"/>
              </w:rPr>
              <w:t>3-х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подписания сторонами концессионного соглашения</w:t>
            </w:r>
            <w:r w:rsidR="00DC44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Концедент обязуется передать концессионеру вновь создаваемое недвижимое имущество, входящее в состав объекта концессионного соглашения, не позднее 5 рабочих дней с даты ввода в эксплуатацию концессионером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объекта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соглашения. </w:t>
            </w:r>
          </w:p>
          <w:p w:rsidR="007A78A4" w:rsidRPr="00EC3B2D" w:rsidRDefault="007A78A4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Учитывая поэтапное создание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 xml:space="preserve">объектов 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 xml:space="preserve">недвижимого имущества, входящего в состав объекта концессионного соглашения, концедент обязан поэтапно передавать концессионеру </w:t>
            </w:r>
            <w:r w:rsidR="00806346" w:rsidRPr="00EC3B2D">
              <w:rPr>
                <w:rFonts w:ascii="Times New Roman" w:hAnsi="Times New Roman" w:cs="Times New Roman"/>
                <w:color w:val="000000" w:themeColor="text1"/>
              </w:rPr>
              <w:t>объекты недвижимого имущества, входящи</w:t>
            </w:r>
            <w:r w:rsidRPr="00EC3B2D">
              <w:rPr>
                <w:rFonts w:ascii="Times New Roman" w:hAnsi="Times New Roman" w:cs="Times New Roman"/>
                <w:color w:val="000000" w:themeColor="text1"/>
              </w:rPr>
              <w:t>е в состав объекта концессионного соглашения, по мере его ввода в эксплуатацию концессионером.</w:t>
            </w:r>
          </w:p>
          <w:p w:rsidR="00F11643" w:rsidRPr="00EC3B2D" w:rsidRDefault="00F11643" w:rsidP="00E709F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6391" w:rsidRPr="003F0169" w:rsidTr="00E709F1">
        <w:trPr>
          <w:trHeight w:val="700"/>
          <w:jc w:val="center"/>
        </w:trPr>
        <w:tc>
          <w:tcPr>
            <w:tcW w:w="447" w:type="dxa"/>
            <w:vAlign w:val="center"/>
          </w:tcPr>
          <w:p w:rsidR="00BF6391" w:rsidRPr="003F0169" w:rsidRDefault="00487E2D" w:rsidP="00E709F1">
            <w:pPr>
              <w:jc w:val="both"/>
            </w:pPr>
            <w:r w:rsidRPr="003F0169">
              <w:t>5</w:t>
            </w:r>
          </w:p>
        </w:tc>
        <w:tc>
          <w:tcPr>
            <w:tcW w:w="4536" w:type="dxa"/>
            <w:vAlign w:val="center"/>
          </w:tcPr>
          <w:p w:rsidR="00BF6391" w:rsidRPr="003F0169" w:rsidRDefault="00BF6391" w:rsidP="00E709F1">
            <w:pPr>
              <w:tabs>
                <w:tab w:val="left" w:pos="709"/>
              </w:tabs>
            </w:pPr>
            <w:r w:rsidRPr="003F0169">
              <w:t xml:space="preserve">Срок </w:t>
            </w:r>
            <w:r w:rsidR="001B4E09" w:rsidRPr="003F0169">
              <w:t xml:space="preserve">создания </w:t>
            </w:r>
            <w:r w:rsidR="0057440C">
              <w:t xml:space="preserve">и реконструкции </w:t>
            </w:r>
            <w:r w:rsidR="001B4E09" w:rsidRPr="003F0169">
              <w:t>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DF7EDB" w:rsidRDefault="00F16942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F7EDB">
              <w:rPr>
                <w:rFonts w:ascii="Times New Roman" w:hAnsi="Times New Roman" w:cs="Times New Roman"/>
              </w:rPr>
              <w:t>-20</w:t>
            </w:r>
            <w:r w:rsidR="00622EC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DF7EDB">
              <w:rPr>
                <w:rFonts w:ascii="Times New Roman" w:hAnsi="Times New Roman" w:cs="Times New Roman"/>
              </w:rPr>
              <w:t xml:space="preserve"> гг.</w:t>
            </w:r>
          </w:p>
          <w:p w:rsidR="00682AD7" w:rsidRPr="003F0169" w:rsidRDefault="00DF7EDB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 w:rsidR="00871668"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 w:rsidR="00871668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F11643" w:rsidRPr="003F0169" w:rsidTr="00E709F1">
        <w:trPr>
          <w:trHeight w:val="2400"/>
          <w:jc w:val="center"/>
        </w:trPr>
        <w:tc>
          <w:tcPr>
            <w:tcW w:w="447" w:type="dxa"/>
            <w:vAlign w:val="center"/>
          </w:tcPr>
          <w:p w:rsidR="00F11643" w:rsidRPr="003F0169" w:rsidRDefault="00487E2D" w:rsidP="00E709F1">
            <w:pPr>
              <w:jc w:val="both"/>
            </w:pPr>
            <w:r w:rsidRPr="003F0169">
              <w:lastRenderedPageBreak/>
              <w:t>6</w:t>
            </w:r>
          </w:p>
        </w:tc>
        <w:tc>
          <w:tcPr>
            <w:tcW w:w="4536" w:type="dxa"/>
            <w:vAlign w:val="center"/>
          </w:tcPr>
          <w:p w:rsidR="00F11643" w:rsidRPr="003F0169" w:rsidRDefault="00F11643" w:rsidP="00E709F1">
            <w:pPr>
              <w:tabs>
                <w:tab w:val="left" w:pos="709"/>
              </w:tabs>
            </w:pPr>
            <w:r w:rsidRPr="003F0169">
              <w:t>Обязательства концедента по передачи концессионеру иного имущества в рамках концессионного соглашения</w:t>
            </w:r>
          </w:p>
        </w:tc>
        <w:tc>
          <w:tcPr>
            <w:tcW w:w="4678" w:type="dxa"/>
            <w:vAlign w:val="center"/>
          </w:tcPr>
          <w:p w:rsidR="000338F6" w:rsidRPr="000338F6" w:rsidRDefault="00F11643" w:rsidP="00DC4429">
            <w:pPr>
              <w:pStyle w:val="ConsPlusNonformat"/>
              <w:ind w:firstLine="708"/>
              <w:jc w:val="both"/>
              <w:rPr>
                <w:rFonts w:ascii="Times New Roman" w:eastAsia="MS Mincho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Концедент обязуется передать концессионеру иное имущество, технологически связанное с создаваемым</w:t>
            </w:r>
            <w:r w:rsidR="000338F6" w:rsidRPr="0025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8F6" w:rsidRPr="000338F6">
              <w:rPr>
                <w:rFonts w:ascii="Times New Roman" w:hAnsi="Times New Roman" w:cs="Times New Roman"/>
              </w:rPr>
              <w:t>и реконструируемым недвижимым имуществом</w:t>
            </w:r>
            <w:r w:rsidR="000338F6" w:rsidRPr="00253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0169">
              <w:rPr>
                <w:rFonts w:ascii="Times New Roman" w:hAnsi="Times New Roman" w:cs="Times New Roman"/>
              </w:rPr>
              <w:t xml:space="preserve"> </w:t>
            </w:r>
            <w:r w:rsidR="000338F6" w:rsidRPr="000338F6">
              <w:rPr>
                <w:rFonts w:ascii="Times New Roman" w:hAnsi="Times New Roman" w:cs="Times New Roman"/>
              </w:rPr>
              <w:t xml:space="preserve">входящим в объект Соглашения, и необходимое для осуществления Концессионером деятельности по передаче и распределению электрической энергии (далее – «иное имущество»), а также права владения и пользования указанным имуществом, </w:t>
            </w:r>
            <w:r w:rsidR="000338F6" w:rsidRPr="000338F6">
              <w:rPr>
                <w:rFonts w:ascii="Times New Roman" w:eastAsia="MS Mincho" w:hAnsi="Times New Roman" w:cs="Times New Roman"/>
              </w:rPr>
              <w:t>не позднее 10 календарных дней с даты подписания Сторонами настоящего Соглашения.</w:t>
            </w:r>
          </w:p>
          <w:p w:rsidR="00F11643" w:rsidRPr="00AE7DF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об ином имуществе </w:t>
            </w:r>
            <w:r w:rsidRPr="00AE7DF9">
              <w:rPr>
                <w:rFonts w:ascii="Times New Roman" w:hAnsi="Times New Roman" w:cs="Times New Roman"/>
              </w:rPr>
              <w:t>&lt;2&gt;</w:t>
            </w:r>
          </w:p>
        </w:tc>
      </w:tr>
      <w:tr w:rsidR="00335548" w:rsidRPr="003F0169" w:rsidTr="0057440C">
        <w:trPr>
          <w:trHeight w:val="496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7</w:t>
            </w:r>
          </w:p>
        </w:tc>
        <w:tc>
          <w:tcPr>
            <w:tcW w:w="4536" w:type="dxa"/>
            <w:vAlign w:val="center"/>
          </w:tcPr>
          <w:p w:rsidR="001B4E09" w:rsidRPr="00622ECE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О</w:t>
            </w:r>
            <w:r w:rsidR="001B4E09" w:rsidRPr="00622ECE">
              <w:rPr>
                <w:rFonts w:ascii="Times New Roman" w:hAnsi="Times New Roman" w:cs="Times New Roman"/>
              </w:rPr>
              <w:t>бязательства</w:t>
            </w:r>
            <w:r w:rsidRPr="00622ECE">
              <w:rPr>
                <w:rFonts w:ascii="Times New Roman" w:hAnsi="Times New Roman" w:cs="Times New Roman"/>
              </w:rPr>
              <w:t xml:space="preserve"> концессионера по </w:t>
            </w:r>
            <w:r w:rsidR="00387243" w:rsidRPr="00622ECE">
              <w:rPr>
                <w:rFonts w:ascii="Times New Roman" w:hAnsi="Times New Roman" w:cs="Times New Roman"/>
              </w:rPr>
              <w:t>поддержанию в исправном техн</w:t>
            </w:r>
            <w:r w:rsidR="001B4E09" w:rsidRPr="00622ECE">
              <w:rPr>
                <w:rFonts w:ascii="Times New Roman" w:hAnsi="Times New Roman" w:cs="Times New Roman"/>
              </w:rPr>
              <w:t>ическом состоянии,</w:t>
            </w:r>
            <w:r w:rsidR="00387243" w:rsidRPr="00622ECE">
              <w:rPr>
                <w:rFonts w:ascii="Times New Roman" w:hAnsi="Times New Roman" w:cs="Times New Roman"/>
              </w:rPr>
              <w:t xml:space="preserve"> эксплуатации, </w:t>
            </w:r>
            <w:r w:rsidR="001763C4" w:rsidRPr="00622ECE">
              <w:rPr>
                <w:rFonts w:ascii="Times New Roman" w:hAnsi="Times New Roman" w:cs="Times New Roman"/>
              </w:rPr>
              <w:t>текущ</w:t>
            </w:r>
            <w:r w:rsidR="00347DED" w:rsidRPr="00622ECE">
              <w:rPr>
                <w:rFonts w:ascii="Times New Roman" w:hAnsi="Times New Roman" w:cs="Times New Roman"/>
              </w:rPr>
              <w:t>ем</w:t>
            </w:r>
            <w:r w:rsidR="001763C4" w:rsidRPr="00622ECE">
              <w:rPr>
                <w:rFonts w:ascii="Times New Roman" w:hAnsi="Times New Roman" w:cs="Times New Roman"/>
              </w:rPr>
              <w:t xml:space="preserve"> и капитал</w:t>
            </w:r>
            <w:r w:rsidR="00347DED" w:rsidRPr="00622ECE">
              <w:rPr>
                <w:rFonts w:ascii="Times New Roman" w:hAnsi="Times New Roman" w:cs="Times New Roman"/>
              </w:rPr>
              <w:t>ь</w:t>
            </w:r>
            <w:r w:rsidR="001763C4" w:rsidRPr="00622ECE">
              <w:rPr>
                <w:rFonts w:ascii="Times New Roman" w:hAnsi="Times New Roman" w:cs="Times New Roman"/>
              </w:rPr>
              <w:t xml:space="preserve">ном </w:t>
            </w:r>
            <w:r w:rsidR="00347DED" w:rsidRPr="00622ECE">
              <w:rPr>
                <w:rFonts w:ascii="Times New Roman" w:hAnsi="Times New Roman" w:cs="Times New Roman"/>
              </w:rPr>
              <w:t>ремонте</w:t>
            </w:r>
            <w:r w:rsidR="00387243" w:rsidRPr="00622ECE">
              <w:rPr>
                <w:rFonts w:ascii="Times New Roman" w:hAnsi="Times New Roman" w:cs="Times New Roman"/>
              </w:rPr>
              <w:t xml:space="preserve">, модернизации, замене морально устаревшего и физически изношенного оборудования </w:t>
            </w:r>
            <w:r w:rsidR="00622ECE" w:rsidRPr="00622ECE">
              <w:rPr>
                <w:rFonts w:ascii="Times New Roman" w:hAnsi="Times New Roman" w:cs="Times New Roman"/>
              </w:rPr>
              <w:t>новым, более производительным оборудованием</w:t>
            </w:r>
            <w:r w:rsidR="00387243" w:rsidRPr="00622ECE">
              <w:rPr>
                <w:rFonts w:ascii="Times New Roman" w:hAnsi="Times New Roman" w:cs="Times New Roman"/>
              </w:rPr>
              <w:t xml:space="preserve"> проведению мероприятий по улучшению характеристик и эксплуатационных свойств имущества</w:t>
            </w:r>
            <w:r w:rsidR="001B4E09" w:rsidRPr="00622ECE">
              <w:rPr>
                <w:rFonts w:ascii="Times New Roman" w:hAnsi="Times New Roman" w:cs="Times New Roman"/>
              </w:rPr>
              <w:t xml:space="preserve"> следующего имущества</w:t>
            </w:r>
            <w:r w:rsidR="00387243" w:rsidRPr="00622ECE">
              <w:rPr>
                <w:rFonts w:ascii="Times New Roman" w:hAnsi="Times New Roman" w:cs="Times New Roman"/>
              </w:rPr>
              <w:t>:</w:t>
            </w:r>
          </w:p>
          <w:p w:rsidR="001B4E09" w:rsidRPr="00622ECE" w:rsidRDefault="0057440C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 (</w:t>
            </w:r>
            <w:r w:rsidRPr="00622ECE">
              <w:rPr>
                <w:rFonts w:ascii="Times New Roman" w:hAnsi="Times New Roman" w:cs="Times New Roman"/>
              </w:rPr>
              <w:t xml:space="preserve">недвижимого </w:t>
            </w:r>
            <w:r w:rsidR="001B4E09" w:rsidRPr="00622ECE">
              <w:rPr>
                <w:rFonts w:ascii="Times New Roman" w:hAnsi="Times New Roman" w:cs="Times New Roman"/>
              </w:rPr>
              <w:t>имущест</w:t>
            </w:r>
            <w:r w:rsidRPr="00622ECE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1B4E09" w:rsidRPr="00622ECE">
              <w:rPr>
                <w:rFonts w:ascii="Times New Roman" w:hAnsi="Times New Roman" w:cs="Times New Roman"/>
              </w:rPr>
              <w:t>оглашения);</w:t>
            </w:r>
          </w:p>
          <w:p w:rsidR="001B4E09" w:rsidRPr="00622ECE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1B4E09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622ECE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непосредст</w:t>
            </w:r>
            <w:r w:rsidR="0057440C" w:rsidRPr="00622ECE">
              <w:rPr>
                <w:rFonts w:ascii="Times New Roman" w:hAnsi="Times New Roman" w:cs="Times New Roman"/>
              </w:rPr>
              <w:t>венно присоединенных к объекту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 и иному имуществу, выявленных в проц</w:t>
            </w:r>
            <w:r w:rsidR="0057440C" w:rsidRPr="00622ECE">
              <w:rPr>
                <w:rFonts w:ascii="Times New Roman" w:hAnsi="Times New Roman" w:cs="Times New Roman"/>
              </w:rPr>
              <w:t>ессе срока действия концессионного с</w:t>
            </w:r>
            <w:r w:rsidRPr="00622ECE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87243" w:rsidRPr="003F0169" w:rsidRDefault="003872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Концессионер обязан</w:t>
            </w:r>
            <w:r w:rsidR="0057440C">
              <w:rPr>
                <w:rFonts w:ascii="Times New Roman" w:hAnsi="Times New Roman" w:cs="Times New Roman"/>
              </w:rPr>
              <w:t xml:space="preserve"> в период всего срока действия концессионного с</w:t>
            </w:r>
            <w:r w:rsidRPr="003F0169">
              <w:rPr>
                <w:rFonts w:ascii="Times New Roman" w:hAnsi="Times New Roman" w:cs="Times New Roman"/>
              </w:rPr>
              <w:t xml:space="preserve">оглашения за свой счет осуществлять </w:t>
            </w:r>
            <w:r w:rsidR="00622ECE" w:rsidRPr="003F0169">
              <w:rPr>
                <w:rFonts w:ascii="Times New Roman" w:hAnsi="Times New Roman" w:cs="Times New Roman"/>
              </w:rPr>
              <w:t xml:space="preserve">поддержание в исправном техническом состоянии, эксплуатацию, </w:t>
            </w:r>
            <w:r w:rsidR="00622ECE">
              <w:rPr>
                <w:rFonts w:ascii="Times New Roman" w:hAnsi="Times New Roman" w:cs="Times New Roman"/>
              </w:rPr>
              <w:t xml:space="preserve">текущий и капитальный </w:t>
            </w:r>
            <w:r w:rsidR="00622ECE" w:rsidRPr="003F0169">
              <w:rPr>
                <w:rFonts w:ascii="Times New Roman" w:hAnsi="Times New Roman" w:cs="Times New Roman"/>
              </w:rPr>
              <w:t>ремонт, модернизацию, замену морально устаревшего и физически</w:t>
            </w:r>
            <w:r w:rsidR="00622ECE">
              <w:rPr>
                <w:rFonts w:ascii="Times New Roman" w:hAnsi="Times New Roman" w:cs="Times New Roman"/>
              </w:rPr>
              <w:t xml:space="preserve"> изношенного оборудования новым</w:t>
            </w:r>
            <w:r w:rsidR="00622ECE" w:rsidRPr="003F0169">
              <w:rPr>
                <w:rFonts w:ascii="Times New Roman" w:hAnsi="Times New Roman" w:cs="Times New Roman"/>
              </w:rPr>
              <w:t xml:space="preserve">, </w:t>
            </w:r>
            <w:r w:rsidR="00622ECE">
              <w:rPr>
                <w:rFonts w:ascii="Times New Roman" w:hAnsi="Times New Roman" w:cs="Times New Roman"/>
              </w:rPr>
              <w:t xml:space="preserve">более производительным оборудованием, </w:t>
            </w:r>
            <w:r w:rsidR="00622ECE" w:rsidRPr="003F0169">
              <w:rPr>
                <w:rFonts w:ascii="Times New Roman" w:hAnsi="Times New Roman" w:cs="Times New Roman"/>
              </w:rPr>
              <w:t>проведение мероприятий по улучшению технических характеристик и эксплуатационных свойств имущества, а также энергосберегающие и иные мероприятия в соответствии с д</w:t>
            </w:r>
            <w:r w:rsidR="00622ECE">
              <w:rPr>
                <w:rFonts w:ascii="Times New Roman" w:hAnsi="Times New Roman" w:cs="Times New Roman"/>
              </w:rPr>
              <w:t>ействующим законодательством РФ</w:t>
            </w:r>
            <w:r w:rsidR="00D0261B">
              <w:rPr>
                <w:rFonts w:ascii="Times New Roman" w:hAnsi="Times New Roman" w:cs="Times New Roman"/>
              </w:rPr>
              <w:t>,</w:t>
            </w:r>
            <w:r w:rsidR="009A7D57">
              <w:rPr>
                <w:rFonts w:ascii="Times New Roman" w:hAnsi="Times New Roman" w:cs="Times New Roman"/>
              </w:rPr>
              <w:t xml:space="preserve"> </w:t>
            </w:r>
            <w:r w:rsidR="00D0261B" w:rsidRPr="00D0261B">
              <w:rPr>
                <w:rFonts w:ascii="Times New Roman" w:hAnsi="Times New Roman" w:cs="Times New Roman"/>
              </w:rPr>
              <w:t>нести все расходы на содержание объектов в течение всего срока действия концессионного соглашения в отношении</w:t>
            </w:r>
            <w:r w:rsidRPr="003F0169">
              <w:rPr>
                <w:rFonts w:ascii="Times New Roman" w:hAnsi="Times New Roman" w:cs="Times New Roman"/>
              </w:rPr>
              <w:t>:</w:t>
            </w:r>
          </w:p>
          <w:p w:rsidR="00387243" w:rsidRPr="003F0169" w:rsidRDefault="00B079F8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 xml:space="preserve">- объекта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Pr="003F0169">
              <w:rPr>
                <w:rFonts w:ascii="Times New Roman" w:hAnsi="Times New Roman" w:cs="Times New Roman"/>
              </w:rPr>
              <w:t>с</w:t>
            </w:r>
            <w:r w:rsidR="00387243" w:rsidRPr="003F0169">
              <w:rPr>
                <w:rFonts w:ascii="Times New Roman" w:hAnsi="Times New Roman" w:cs="Times New Roman"/>
              </w:rPr>
              <w:t>оглашения (</w:t>
            </w:r>
            <w:r w:rsidR="0057440C">
              <w:rPr>
                <w:rFonts w:ascii="Times New Roman" w:hAnsi="Times New Roman" w:cs="Times New Roman"/>
              </w:rPr>
              <w:t xml:space="preserve">недвижимого </w:t>
            </w:r>
            <w:r w:rsidR="00387243" w:rsidRPr="003F0169">
              <w:rPr>
                <w:rFonts w:ascii="Times New Roman" w:hAnsi="Times New Roman" w:cs="Times New Roman"/>
              </w:rPr>
              <w:t>имущест</w:t>
            </w:r>
            <w:r w:rsidR="0057440C">
              <w:rPr>
                <w:rFonts w:ascii="Times New Roman" w:hAnsi="Times New Roman" w:cs="Times New Roman"/>
              </w:rPr>
              <w:t>ва, входящего в состав объекта концессионного с</w:t>
            </w:r>
            <w:r w:rsidR="00387243" w:rsidRPr="003F0169">
              <w:rPr>
                <w:rFonts w:ascii="Times New Roman" w:hAnsi="Times New Roman" w:cs="Times New Roman"/>
              </w:rPr>
              <w:t>оглашения);</w:t>
            </w:r>
          </w:p>
          <w:p w:rsidR="00387243" w:rsidRPr="003F0169" w:rsidRDefault="00387243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иного имущества (имущества, входящего в состав иного имущества);</w:t>
            </w:r>
          </w:p>
          <w:p w:rsidR="00335548" w:rsidRPr="003F0169" w:rsidRDefault="00387243" w:rsidP="003B5062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- бесхозяйных объектов электросетевого комплекса, непосредс</w:t>
            </w:r>
            <w:r w:rsidR="00B079F8" w:rsidRPr="003F0169">
              <w:rPr>
                <w:rFonts w:ascii="Times New Roman" w:hAnsi="Times New Roman" w:cs="Times New Roman"/>
              </w:rPr>
              <w:t xml:space="preserve">твенно присоединенных к объекту </w:t>
            </w:r>
            <w:r w:rsidR="0057440C">
              <w:rPr>
                <w:rFonts w:ascii="Times New Roman" w:hAnsi="Times New Roman" w:cs="Times New Roman"/>
              </w:rPr>
              <w:t xml:space="preserve">концессионного </w:t>
            </w:r>
            <w:r w:rsidR="00B079F8" w:rsidRPr="003F0169">
              <w:rPr>
                <w:rFonts w:ascii="Times New Roman" w:hAnsi="Times New Roman" w:cs="Times New Roman"/>
              </w:rPr>
              <w:t>с</w:t>
            </w:r>
            <w:r w:rsidRPr="003F0169">
              <w:rPr>
                <w:rFonts w:ascii="Times New Roman" w:hAnsi="Times New Roman" w:cs="Times New Roman"/>
              </w:rPr>
              <w:t xml:space="preserve">оглашения и иному имуществу, выявленных в процессе срока действия </w:t>
            </w:r>
            <w:r w:rsidR="0057440C">
              <w:rPr>
                <w:rFonts w:ascii="Times New Roman" w:hAnsi="Times New Roman" w:cs="Times New Roman"/>
              </w:rPr>
              <w:t>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  <w:r w:rsidR="008253CD">
              <w:rPr>
                <w:rFonts w:ascii="Times New Roman" w:hAnsi="Times New Roman" w:cs="Times New Roman"/>
              </w:rPr>
              <w:t>.</w:t>
            </w:r>
          </w:p>
        </w:tc>
      </w:tr>
      <w:tr w:rsidR="00335548" w:rsidRPr="003F0169" w:rsidTr="00E709F1">
        <w:trPr>
          <w:trHeight w:val="730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8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Осуществление концессионером вида деятельности: оказание услуг по передаче и распределению электрической энергии</w:t>
            </w:r>
          </w:p>
        </w:tc>
      </w:tr>
      <w:tr w:rsidR="00335548" w:rsidRPr="003F0169" w:rsidTr="00E709F1">
        <w:trPr>
          <w:trHeight w:val="461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9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Срок действия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BF52AD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 даты подписания сторонами по 31 декабря 20</w:t>
            </w:r>
            <w:r w:rsidR="008D6A5C">
              <w:rPr>
                <w:rFonts w:ascii="Times New Roman" w:hAnsi="Times New Roman" w:cs="Times New Roman"/>
              </w:rPr>
              <w:t>60</w:t>
            </w:r>
            <w:r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F0169">
        <w:trPr>
          <w:trHeight w:val="832"/>
          <w:jc w:val="center"/>
        </w:trPr>
        <w:tc>
          <w:tcPr>
            <w:tcW w:w="447" w:type="dxa"/>
            <w:vAlign w:val="center"/>
          </w:tcPr>
          <w:p w:rsidR="00335548" w:rsidRPr="003F0169" w:rsidRDefault="00487E2D" w:rsidP="00E709F1">
            <w:pPr>
              <w:jc w:val="both"/>
            </w:pPr>
            <w:r w:rsidRPr="003F0169">
              <w:t>10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ввода в эксплуатацию объекто</w:t>
            </w:r>
            <w:r w:rsidR="000956C4">
              <w:rPr>
                <w:rFonts w:ascii="Times New Roman" w:hAnsi="Times New Roman" w:cs="Times New Roman"/>
              </w:rPr>
              <w:t>в недвижимого</w:t>
            </w:r>
            <w:r w:rsidRPr="003F0169">
              <w:rPr>
                <w:rFonts w:ascii="Times New Roman" w:hAnsi="Times New Roman" w:cs="Times New Roman"/>
              </w:rPr>
              <w:t xml:space="preserve"> имущес</w:t>
            </w:r>
            <w:r w:rsidR="00115274">
              <w:rPr>
                <w:rFonts w:ascii="Times New Roman" w:hAnsi="Times New Roman" w:cs="Times New Roman"/>
              </w:rPr>
              <w:t>тва, входящих в состав объекта концессионного с</w:t>
            </w:r>
            <w:r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FC2B99" w:rsidRDefault="008D6A5C" w:rsidP="00E709F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FC2B99">
              <w:rPr>
                <w:rFonts w:ascii="Times New Roman" w:hAnsi="Times New Roman" w:cs="Times New Roman"/>
              </w:rPr>
              <w:t>-20</w:t>
            </w:r>
            <w:r w:rsidR="00BF52A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FC2B99">
              <w:rPr>
                <w:rFonts w:ascii="Times New Roman" w:hAnsi="Times New Roman" w:cs="Times New Roman"/>
              </w:rPr>
              <w:t xml:space="preserve"> гг.</w:t>
            </w:r>
          </w:p>
          <w:p w:rsidR="00FC2B99" w:rsidRPr="003F0169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Согласно Информации о</w:t>
            </w:r>
            <w:r>
              <w:rPr>
                <w:rFonts w:ascii="Times New Roman" w:hAnsi="Times New Roman" w:cs="Times New Roman"/>
              </w:rPr>
              <w:t>б</w:t>
            </w:r>
            <w:r w:rsidR="003001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AE7DF9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3F0169" w:rsidTr="00E709F1">
        <w:trPr>
          <w:trHeight w:val="566"/>
          <w:jc w:val="center"/>
        </w:trPr>
        <w:tc>
          <w:tcPr>
            <w:tcW w:w="447" w:type="dxa"/>
            <w:vAlign w:val="center"/>
          </w:tcPr>
          <w:p w:rsidR="00335548" w:rsidRPr="003F0169" w:rsidRDefault="005B0D82" w:rsidP="00E709F1">
            <w:pPr>
              <w:jc w:val="both"/>
            </w:pPr>
            <w:r w:rsidRPr="003F0169">
              <w:t>11</w:t>
            </w:r>
          </w:p>
        </w:tc>
        <w:tc>
          <w:tcPr>
            <w:tcW w:w="4536" w:type="dxa"/>
            <w:vAlign w:val="center"/>
          </w:tcPr>
          <w:p w:rsidR="00335548" w:rsidRPr="003F0169" w:rsidRDefault="000C2C6F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3F0169">
              <w:rPr>
                <w:rFonts w:ascii="Times New Roman" w:hAnsi="Times New Roman" w:cs="Times New Roman"/>
              </w:rPr>
              <w:t>Срок передачи (возврата) концессионером к</w:t>
            </w:r>
            <w:r w:rsidR="000956C4">
              <w:rPr>
                <w:rFonts w:ascii="Times New Roman" w:hAnsi="Times New Roman" w:cs="Times New Roman"/>
              </w:rPr>
              <w:t xml:space="preserve">онцеденту объекта концессионного </w:t>
            </w:r>
            <w:r w:rsidR="00335548" w:rsidRPr="003F0169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F0169" w:rsidP="00BF52A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35548" w:rsidRPr="003F0169">
              <w:rPr>
                <w:rFonts w:ascii="Times New Roman" w:hAnsi="Times New Roman" w:cs="Times New Roman"/>
              </w:rPr>
              <w:t>е позднее 31 января 20</w:t>
            </w:r>
            <w:r w:rsidR="008D6A5C">
              <w:rPr>
                <w:rFonts w:ascii="Times New Roman" w:hAnsi="Times New Roman" w:cs="Times New Roman"/>
              </w:rPr>
              <w:t>61</w:t>
            </w:r>
            <w:r w:rsidR="00335548" w:rsidRPr="003F016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48" w:rsidRPr="003F0169" w:rsidTr="003B5062">
        <w:trPr>
          <w:trHeight w:val="834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2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r w:rsidRPr="003F0169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4678" w:type="dxa"/>
            <w:vAlign w:val="center"/>
          </w:tcPr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Концедент обязуется заключить с Концессионером договор (договоры) аренды земельных участков, на которых располагается реконструируемое недвижимое имущество, входящее в состав объекта Соглашения, и на которых будут располагаться вновь создаваемые объекты недвижимого имущества, входящие в состав объекта Соглашения, и состав иного имущества, и которые необходимы для осуществления Концессионером деятельности по настоящему Соглашению.</w:t>
            </w:r>
          </w:p>
          <w:p w:rsidR="00D0261B" w:rsidRPr="00D65E48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1B">
              <w:rPr>
                <w:rFonts w:ascii="Times New Roman" w:hAnsi="Times New Roman" w:cs="Times New Roman"/>
              </w:rPr>
              <w:t xml:space="preserve">Земельный участок, который необходим для осуществления концессионером деятельности по заключаемому соглашению, предоставляется Концессионеру в аренду в соответствии с земельным законодательством Российской Федерации на срок, не превышающий срок </w:t>
            </w:r>
            <w:r w:rsidRPr="00D0261B">
              <w:rPr>
                <w:rFonts w:ascii="Times New Roman" w:hAnsi="Times New Roman" w:cs="Times New Roman"/>
              </w:rPr>
              <w:lastRenderedPageBreak/>
              <w:t>действия концессионного соглашения. Договор аренды земельного участка заключается не позднее чем через 60 рабочих дней со дня подписания концессионного соглашения</w:t>
            </w:r>
            <w:r w:rsidRPr="00F40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Арендная плата за переданные земельные участки устанавливается на основании решения органа местного самоуправления.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Если не осуществлен государственный кадастровый учет земельных участков, на которых располагаются объекты, входящие в состав объекта Соглашения и состав иного имущества, и которые необходимы для осуществления Концессионером деятельности, предусмотренной пунктом 1 Соглашения, Концедент обязан обратиться с заявлением об осуществлении государственного кадастрового учета земельного участка в порядке, установленном Федеральным законом от 24 июля 2007 года № 221-ФЗ «О кадастровой деятельности» на основе представленных Концессионером документов являющихся результатом выполненных за счет средств Концессионера кадастровых работ в отношении таких земельных участков.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 xml:space="preserve">Договор (договоры) аренды земельных участков заключается в течение 30 рабочих дней после проведения государственного кадастрового учета земельных участков. 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Срок аренды земельных участков устанавливается с даты заключения договора (договоров) аренды по срок действия настоящего Соглашения.</w:t>
            </w:r>
          </w:p>
          <w:p w:rsidR="00D0261B" w:rsidRPr="00D0261B" w:rsidRDefault="00D0261B" w:rsidP="00D0261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D0261B">
              <w:rPr>
                <w:rFonts w:ascii="Times New Roman" w:hAnsi="Times New Roman" w:cs="Times New Roman"/>
              </w:rPr>
              <w:t>Договор аренды земельного участка подлежит государственной регистрации в установленном законодательством Российской Федерации порядке и вступает в силу с момента данной регистрации. Государственная регистрация указанного договора осуществляется за счет Концедента.</w:t>
            </w:r>
          </w:p>
          <w:p w:rsidR="00335548" w:rsidRPr="003F0169" w:rsidRDefault="00335548" w:rsidP="00E709F1"/>
        </w:tc>
      </w:tr>
      <w:tr w:rsidR="00335548" w:rsidRPr="003F0169" w:rsidTr="003F0169">
        <w:trPr>
          <w:trHeight w:val="1120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lastRenderedPageBreak/>
              <w:t>1</w:t>
            </w:r>
            <w:r w:rsidR="008554EA">
              <w:t>3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Цели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Рациональное использование объектов электросетевого хозяйства с целью оказания услуг по передаче и распределению электрической энергии</w:t>
            </w:r>
          </w:p>
        </w:tc>
      </w:tr>
      <w:tr w:rsidR="00335548" w:rsidRPr="003F0169" w:rsidTr="003F0169">
        <w:trPr>
          <w:trHeight w:val="838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4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Срок испол</w:t>
            </w:r>
            <w:r w:rsidR="002365C7">
              <w:t>ьзования (эксплуатации) объекта</w:t>
            </w:r>
            <w:r w:rsidRPr="003F0169">
              <w:t xml:space="preserve"> концессионного соглашения</w:t>
            </w:r>
          </w:p>
        </w:tc>
        <w:tc>
          <w:tcPr>
            <w:tcW w:w="4678" w:type="dxa"/>
            <w:vAlign w:val="center"/>
          </w:tcPr>
          <w:p w:rsidR="00335548" w:rsidRPr="003F0169" w:rsidRDefault="00F11643" w:rsidP="00BF52AD">
            <w:pPr>
              <w:tabs>
                <w:tab w:val="left" w:pos="709"/>
              </w:tabs>
            </w:pPr>
            <w:r w:rsidRPr="003F0169">
              <w:t>С даты подписан</w:t>
            </w:r>
            <w:r w:rsidR="00270AD9">
              <w:t>ия Акта приема-передачи объекта</w:t>
            </w:r>
            <w:r w:rsidRPr="003F0169">
              <w:t xml:space="preserve"> концессионного соглашения </w:t>
            </w:r>
            <w:r w:rsidR="002365C7">
              <w:t xml:space="preserve">(объекта недвижимого имущества, входящего в состав объекта соглашения) </w:t>
            </w:r>
            <w:r w:rsidRPr="003F0169">
              <w:t>по 31 декабря 20</w:t>
            </w:r>
            <w:r w:rsidR="008D6A5C">
              <w:t>60</w:t>
            </w:r>
            <w:r w:rsidRPr="003F0169">
              <w:t xml:space="preserve"> года</w:t>
            </w:r>
          </w:p>
        </w:tc>
      </w:tr>
      <w:tr w:rsidR="00335548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335548" w:rsidRPr="003F0169" w:rsidRDefault="00335548" w:rsidP="00E709F1">
            <w:pPr>
              <w:jc w:val="both"/>
            </w:pPr>
            <w:r w:rsidRPr="003F0169">
              <w:t>1</w:t>
            </w:r>
            <w:r w:rsidR="008554EA">
              <w:t>5</w:t>
            </w:r>
          </w:p>
        </w:tc>
        <w:tc>
          <w:tcPr>
            <w:tcW w:w="4536" w:type="dxa"/>
            <w:vAlign w:val="center"/>
          </w:tcPr>
          <w:p w:rsidR="00335548" w:rsidRPr="003F0169" w:rsidRDefault="00335548" w:rsidP="00E709F1">
            <w:pPr>
              <w:tabs>
                <w:tab w:val="left" w:pos="709"/>
              </w:tabs>
            </w:pPr>
            <w:r w:rsidRPr="003F0169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4678" w:type="dxa"/>
            <w:vAlign w:val="center"/>
          </w:tcPr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Концессионер обязан ежегодно в период срока создания и реконструкции объектов недвижимости, входящих в состав объекта Соглашения, (пункт 60 Соглашения) обеспечивать исполнение обязательств по настоящему Соглашению в размере, составляющем 5 процентов от объема инвестиций в ценах года вложения инвестиций, предусмотренных на соответствующий год, одним из нижеперечисленных способов: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- предоставления безотзывной банковской гарантии;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- страхование риска ответственности Концессионера;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- передачи Концессионером Концеденту в залог прав Концессионера по договору банковского вклада (депозита).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 xml:space="preserve">О способе обеспечения исполнения обязательств Концессионера по настоящему </w:t>
            </w:r>
            <w:r w:rsidRPr="008B0D98">
              <w:rPr>
                <w:rFonts w:ascii="Times New Roman" w:hAnsi="Times New Roman" w:cs="Times New Roman"/>
              </w:rPr>
              <w:lastRenderedPageBreak/>
              <w:t>Соглашению Концессионер обязан письменно уведомить Концедента с приложением копии документа, подтверждающего факт оформления и оплаты обеспечения, не позднее чем за 30 календарных дней до начала нового периода обеспечения (следующего календарного года).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Ежегодно до начала нового периода обеспечения Концессионер осуществляет обеспечение исполнения обязательств по настоящему Соглашению выбранным им способом, доведя имеющуюся сумму обеспечения прошлого периода до суммы обеспечения будущего периода. В случае если по итогам прошлого отчетного периода устанавливается факт неисполнения Концессионером инвестиционных обязательств и Концедент прибегает к использованию сумм обеспечения, Концессионер не позднее 15 дней с момента использования обеспечения, пополняет сумму обеспечения до требуемого размера текущего периода.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>В случае изменения Концессионером способа обеспечения исполнения обязательств по настоящему Соглашению на будущий период по сравнению с текущим, оно осуществляется в сумме соответствующей полному размеру обязательств будущего периода без учета средств обеспечения прошлого периода, осуществленного другим способом.</w:t>
            </w:r>
          </w:p>
          <w:p w:rsidR="00335548" w:rsidRPr="003F0169" w:rsidRDefault="00335548" w:rsidP="00E709F1">
            <w:pPr>
              <w:autoSpaceDE w:val="0"/>
              <w:autoSpaceDN w:val="0"/>
              <w:adjustRightInd w:val="0"/>
            </w:pPr>
          </w:p>
        </w:tc>
      </w:tr>
      <w:tr w:rsidR="006F3451" w:rsidRPr="003F0169" w:rsidTr="003B5062">
        <w:trPr>
          <w:trHeight w:val="1117"/>
          <w:jc w:val="center"/>
        </w:trPr>
        <w:tc>
          <w:tcPr>
            <w:tcW w:w="447" w:type="dxa"/>
            <w:vAlign w:val="center"/>
          </w:tcPr>
          <w:p w:rsidR="006F3451" w:rsidRPr="003F0169" w:rsidRDefault="006F3451" w:rsidP="00E709F1">
            <w:pPr>
              <w:jc w:val="both"/>
            </w:pPr>
            <w:r>
              <w:lastRenderedPageBreak/>
              <w:t>16</w:t>
            </w:r>
          </w:p>
        </w:tc>
        <w:tc>
          <w:tcPr>
            <w:tcW w:w="4536" w:type="dxa"/>
            <w:vAlign w:val="center"/>
          </w:tcPr>
          <w:p w:rsidR="006F3451" w:rsidRDefault="006F3451" w:rsidP="006F345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Размер концессионной платы, форму или формы, порядок и сроки ее внесения,</w:t>
            </w:r>
          </w:p>
          <w:p w:rsidR="006F3451" w:rsidRPr="003F0169" w:rsidRDefault="006F3451" w:rsidP="00E709F1">
            <w:pPr>
              <w:tabs>
                <w:tab w:val="left" w:pos="709"/>
              </w:tabs>
            </w:pPr>
          </w:p>
        </w:tc>
        <w:tc>
          <w:tcPr>
            <w:tcW w:w="4678" w:type="dxa"/>
            <w:vAlign w:val="center"/>
          </w:tcPr>
          <w:p w:rsidR="008B0D98" w:rsidRPr="008B0D98" w:rsidRDefault="008B0D98" w:rsidP="008B0D98">
            <w:pPr>
              <w:shd w:val="clear" w:color="auto" w:fill="FFFFFF"/>
              <w:ind w:firstLine="708"/>
              <w:textAlignment w:val="baseline"/>
              <w:outlineLvl w:val="2"/>
            </w:pPr>
            <w:r w:rsidRPr="008B0D98">
              <w:t>Концессионная плата устанавливается в твердой сумме платежей. Концессионная плата вносится Концессионером начиная с 2021 года.</w:t>
            </w:r>
          </w:p>
          <w:p w:rsidR="008B0D98" w:rsidRPr="008B0D98" w:rsidRDefault="008B0D98" w:rsidP="008B0D98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B0D98">
              <w:rPr>
                <w:rFonts w:ascii="Times New Roman" w:hAnsi="Times New Roman" w:cs="Times New Roman"/>
              </w:rPr>
              <w:t xml:space="preserve">Концессионная плата составляет 2 000 000 (два миллиона) рублей в год без учета НДС. </w:t>
            </w:r>
          </w:p>
          <w:p w:rsidR="008B0D98" w:rsidRPr="008B0D98" w:rsidRDefault="008B0D98" w:rsidP="008B0D98">
            <w:pPr>
              <w:autoSpaceDE w:val="0"/>
              <w:autoSpaceDN w:val="0"/>
              <w:adjustRightInd w:val="0"/>
              <w:ind w:firstLine="708"/>
              <w:jc w:val="both"/>
            </w:pPr>
            <w:r w:rsidRPr="008B0D98">
              <w:t xml:space="preserve"> Концессионер обязан уплачивать Концеденту в бюджет муниципального образования «Ягоднинский городской округ» концессионную плату в размере:</w:t>
            </w:r>
          </w:p>
          <w:p w:rsidR="008B0D98" w:rsidRPr="008B0D98" w:rsidRDefault="008B0D98" w:rsidP="008B0D98">
            <w:pPr>
              <w:autoSpaceDE w:val="0"/>
              <w:autoSpaceDN w:val="0"/>
              <w:adjustRightInd w:val="0"/>
              <w:ind w:firstLine="708"/>
              <w:jc w:val="both"/>
            </w:pPr>
            <w:r w:rsidRPr="008B0D98">
              <w:t>- 500 000(пятьсот тысяч) рублей в квартал без учета НДС.</w:t>
            </w:r>
          </w:p>
          <w:p w:rsidR="008B0D98" w:rsidRPr="008B0D98" w:rsidRDefault="008B0D98" w:rsidP="008B0D98">
            <w:pPr>
              <w:autoSpaceDE w:val="0"/>
              <w:autoSpaceDN w:val="0"/>
              <w:adjustRightInd w:val="0"/>
              <w:ind w:firstLine="709"/>
              <w:jc w:val="both"/>
            </w:pPr>
            <w:r w:rsidRPr="008B0D98">
              <w:t xml:space="preserve">Концессионная плата вносится поквартально равными долями в срок до 10 числа месяца, следующего за расчетным кварталом, за четвертый квартал текущего года не позднее 25 декабря текущего года, путем перечисления денежных средств в бюджет муниципального образования «Ягоднинский городской округ» на </w:t>
            </w:r>
            <w:r>
              <w:t>расчетный счет Концедента.</w:t>
            </w:r>
          </w:p>
          <w:p w:rsidR="006F3451" w:rsidRDefault="008B0D98" w:rsidP="008B0D98">
            <w:pPr>
              <w:autoSpaceDE w:val="0"/>
              <w:autoSpaceDN w:val="0"/>
              <w:adjustRightInd w:val="0"/>
              <w:ind w:firstLine="709"/>
              <w:jc w:val="both"/>
            </w:pPr>
            <w:r w:rsidRPr="008B0D98">
              <w:t>НДС определяется по централизованно установленной ставке и оплачивается Концессионером по отдельному платежному документу в соответствующий бюджет.</w:t>
            </w:r>
          </w:p>
          <w:p w:rsidR="008B0D98" w:rsidRPr="003F0169" w:rsidRDefault="008B0D98" w:rsidP="008B0D98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B06101" w:rsidRPr="003F0169" w:rsidTr="00935EBA">
        <w:trPr>
          <w:trHeight w:val="3961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lastRenderedPageBreak/>
              <w:t>1</w:t>
            </w:r>
            <w:r w:rsidR="006F3451">
              <w:t>7</w:t>
            </w:r>
          </w:p>
        </w:tc>
        <w:tc>
          <w:tcPr>
            <w:tcW w:w="4536" w:type="dxa"/>
            <w:vAlign w:val="center"/>
          </w:tcPr>
          <w:p w:rsidR="00B06101" w:rsidRPr="003F0169" w:rsidRDefault="00B06101" w:rsidP="00537032">
            <w:pPr>
              <w:autoSpaceDE w:val="0"/>
              <w:autoSpaceDN w:val="0"/>
              <w:adjustRightInd w:val="0"/>
            </w:pPr>
            <w:r w:rsidRPr="003F0169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4678" w:type="dxa"/>
            <w:vAlign w:val="center"/>
          </w:tcPr>
          <w:p w:rsidR="00F25715" w:rsidRPr="00F25715" w:rsidRDefault="00F25715" w:rsidP="00F25715">
            <w:pPr>
              <w:ind w:firstLine="708"/>
              <w:jc w:val="both"/>
            </w:pPr>
            <w:r w:rsidRPr="00F25715">
              <w:rPr>
                <w:bCs/>
              </w:rPr>
      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      </w:r>
            <w:r w:rsidRPr="00F25715">
      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      </w:r>
          </w:p>
          <w:p w:rsidR="00F25715" w:rsidRPr="00F25715" w:rsidRDefault="00F25715" w:rsidP="00F25715">
            <w:pPr>
              <w:ind w:firstLine="708"/>
              <w:jc w:val="both"/>
              <w:textAlignment w:val="baseline"/>
            </w:pPr>
            <w:r w:rsidRPr="00F25715">
      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1) надлежащим образом оформленные: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- акты выполненных работ;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2) пояснительную записку подтверждающую сумму расходов, понесенных в результате осуществления регулированного вида деятельности по предмету Соглашения. 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течении 30 календарных дней.</w:t>
            </w:r>
          </w:p>
          <w:p w:rsidR="00F25715" w:rsidRPr="00F25715" w:rsidRDefault="00F25715" w:rsidP="00F25715">
            <w:pPr>
              <w:ind w:firstLine="708"/>
              <w:jc w:val="both"/>
            </w:pPr>
            <w:r w:rsidRPr="00F25715">
      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</w:t>
            </w:r>
          </w:p>
          <w:p w:rsidR="00F25715" w:rsidRPr="00F25715" w:rsidRDefault="00F25715" w:rsidP="00F25715">
            <w:pPr>
              <w:pStyle w:val="7"/>
              <w:shd w:val="clear" w:color="auto" w:fill="auto"/>
              <w:spacing w:before="0" w:after="0" w:line="240" w:lineRule="auto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F25715">
              <w:rPr>
                <w:sz w:val="20"/>
                <w:szCs w:val="20"/>
              </w:rPr>
              <w:t xml:space="preserve">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</w:t>
            </w:r>
            <w:r w:rsidRPr="00F25715">
              <w:rPr>
                <w:sz w:val="20"/>
                <w:szCs w:val="20"/>
              </w:rPr>
              <w:lastRenderedPageBreak/>
              <w:t>Концессионера и вносит изменения в бюджет МО «Ягоднинский городской округ».</w:t>
            </w:r>
          </w:p>
          <w:p w:rsidR="00F25715" w:rsidRPr="00F25715" w:rsidRDefault="00F25715" w:rsidP="00F25715">
            <w:pPr>
              <w:ind w:firstLine="708"/>
              <w:jc w:val="both"/>
              <w:textAlignment w:val="baseline"/>
            </w:pPr>
            <w:r w:rsidRPr="00F25715">
              <w:t xml:space="preserve">Возмещение расходов осуществляется на основании заключенного между Концессионером иКонцедентом соглашения в рамках бюджетного процесса всроки установленные графиком платежей, подписанным между сторонами (Концессионером и Концедентом). </w:t>
            </w:r>
          </w:p>
          <w:p w:rsidR="00F25715" w:rsidRPr="00F25715" w:rsidRDefault="00F25715" w:rsidP="00F25715">
            <w:pPr>
              <w:ind w:firstLine="708"/>
              <w:jc w:val="both"/>
              <w:textAlignment w:val="baseline"/>
            </w:pPr>
            <w:r w:rsidRPr="00F25715">
              <w:t xml:space="preserve"> 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      </w:r>
          </w:p>
          <w:p w:rsidR="00B06101" w:rsidRPr="003F0169" w:rsidRDefault="00B06101" w:rsidP="00537032">
            <w:pPr>
              <w:autoSpaceDE w:val="0"/>
              <w:autoSpaceDN w:val="0"/>
              <w:adjustRightInd w:val="0"/>
            </w:pPr>
          </w:p>
        </w:tc>
      </w:tr>
      <w:tr w:rsidR="00B06101" w:rsidRPr="003F0169" w:rsidTr="00935EBA">
        <w:trPr>
          <w:trHeight w:val="2529"/>
          <w:jc w:val="center"/>
        </w:trPr>
        <w:tc>
          <w:tcPr>
            <w:tcW w:w="447" w:type="dxa"/>
            <w:vAlign w:val="center"/>
          </w:tcPr>
          <w:p w:rsidR="00B06101" w:rsidRPr="003F0169" w:rsidRDefault="00B06101" w:rsidP="006F3451">
            <w:pPr>
              <w:jc w:val="both"/>
            </w:pPr>
            <w:r w:rsidRPr="003F0169">
              <w:lastRenderedPageBreak/>
              <w:t>1</w:t>
            </w:r>
            <w:r w:rsidR="006F3451">
              <w:t>8</w:t>
            </w:r>
          </w:p>
        </w:tc>
        <w:tc>
          <w:tcPr>
            <w:tcW w:w="4536" w:type="dxa"/>
            <w:vAlign w:val="center"/>
          </w:tcPr>
          <w:p w:rsidR="00B06101" w:rsidRDefault="00B06101" w:rsidP="00B0610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Обязательства концессионера по подготовке территории, необходимой для создания и  реконструкции объекта концессионного соглашения и для осуществления деятельности, предусмотренной концессионным соглашением.</w:t>
            </w:r>
          </w:p>
          <w:p w:rsidR="00B06101" w:rsidRPr="003F0169" w:rsidRDefault="00B06101" w:rsidP="00E709F1">
            <w:pPr>
              <w:autoSpaceDE w:val="0"/>
              <w:autoSpaceDN w:val="0"/>
              <w:adjustRightInd w:val="0"/>
            </w:pPr>
          </w:p>
        </w:tc>
        <w:tc>
          <w:tcPr>
            <w:tcW w:w="4678" w:type="dxa"/>
            <w:vAlign w:val="center"/>
          </w:tcPr>
          <w:p w:rsidR="006A26E5" w:rsidRPr="006A26E5" w:rsidRDefault="006A26E5" w:rsidP="006A26E5">
            <w:pPr>
              <w:jc w:val="both"/>
              <w:rPr>
                <w:spacing w:val="1"/>
                <w:shd w:val="clear" w:color="auto" w:fill="FFFFFF"/>
              </w:rPr>
            </w:pPr>
            <w:r w:rsidRPr="006A26E5">
              <w:rPr>
                <w:spacing w:val="1"/>
                <w:shd w:val="clear" w:color="auto" w:fill="FFFFFF"/>
              </w:rPr>
              <w:t>В случае необходимости Концессионер обязан за свой счет провести работы по подготовке территории, необходимой для создания и реконструкции объекта Соглашения и для осуществления деятельности.</w:t>
            </w:r>
          </w:p>
          <w:p w:rsidR="00B06101" w:rsidRPr="003F0169" w:rsidRDefault="006A26E5" w:rsidP="006A26E5">
            <w:pPr>
              <w:autoSpaceDE w:val="0"/>
              <w:autoSpaceDN w:val="0"/>
              <w:adjustRightInd w:val="0"/>
            </w:pPr>
            <w:r w:rsidRPr="006A26E5">
              <w:t xml:space="preserve">Концедент   обязуется   оказывать  Концессионеру  содействие  при выполнении работ </w:t>
            </w:r>
            <w:r w:rsidRPr="006A26E5">
              <w:rPr>
                <w:spacing w:val="1"/>
                <w:shd w:val="clear" w:color="auto" w:fill="FFFFFF"/>
              </w:rPr>
              <w:t>подготовке территории, необходимой для создания и реконструкции объекта Соглашения и для осуществления деятельности</w:t>
            </w:r>
          </w:p>
        </w:tc>
      </w:tr>
    </w:tbl>
    <w:p w:rsidR="00116D9D" w:rsidRPr="000C2C6F" w:rsidRDefault="00116D9D" w:rsidP="000C2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CF3621" w:rsidRDefault="00CF3621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D4D" w:rsidRDefault="00081D4D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94" w:rsidRDefault="00CA0194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94" w:rsidRDefault="00CA0194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94" w:rsidRDefault="00CA0194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76" w:rsidRDefault="00B25376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032" w:rsidRDefault="00537032" w:rsidP="0053703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37032" w:rsidRDefault="00537032" w:rsidP="0053703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53703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B5062" w:rsidRDefault="003B5062" w:rsidP="000345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72B" w:rsidRDefault="00DD572B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06C7" w:rsidRDefault="00E006C7" w:rsidP="00BE02D8">
      <w:pPr>
        <w:pStyle w:val="ConsPlusNonformat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169F" w:rsidRDefault="0011169F" w:rsidP="00BE02D8">
      <w:pPr>
        <w:pStyle w:val="ConsPlusNonformat"/>
        <w:widowControl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43FC" w:rsidRDefault="00935EBA" w:rsidP="00E006C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07A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О</w:t>
      </w:r>
      <w:r w:rsidRPr="00E207A5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E207A5">
        <w:rPr>
          <w:rFonts w:ascii="Times New Roman" w:hAnsi="Times New Roman" w:cs="Times New Roman"/>
          <w:b/>
          <w:bCs/>
          <w:sz w:val="24"/>
          <w:szCs w:val="24"/>
        </w:rPr>
        <w:t>ОБЪЕКТЕ</w:t>
      </w:r>
      <w:r w:rsidR="001B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5B4" w:rsidRPr="00E207A5">
        <w:rPr>
          <w:rFonts w:ascii="Times New Roman" w:hAnsi="Times New Roman" w:cs="Times New Roman"/>
          <w:b/>
          <w:sz w:val="24"/>
          <w:szCs w:val="24"/>
        </w:rPr>
        <w:t>КОНЦЕССИОННОГО СОГЛАШЕНИЯ &lt;1&gt;</w:t>
      </w:r>
    </w:p>
    <w:p w:rsidR="0011169F" w:rsidRDefault="0011169F" w:rsidP="00E006C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291" w:rsidRPr="00247291" w:rsidRDefault="00682AD7" w:rsidP="00247291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7291">
        <w:rPr>
          <w:rFonts w:ascii="Times New Roman" w:hAnsi="Times New Roman" w:cs="Times New Roman"/>
          <w:sz w:val="24"/>
          <w:szCs w:val="24"/>
        </w:rPr>
        <w:t>Объектом концессионного соглашения явля</w:t>
      </w:r>
      <w:r w:rsidR="00247291" w:rsidRPr="00247291">
        <w:rPr>
          <w:rFonts w:ascii="Times New Roman" w:hAnsi="Times New Roman" w:cs="Times New Roman"/>
          <w:sz w:val="24"/>
          <w:szCs w:val="24"/>
        </w:rPr>
        <w:t xml:space="preserve">ются </w:t>
      </w:r>
      <w:r w:rsidR="00247291" w:rsidRPr="005D70D7">
        <w:rPr>
          <w:rFonts w:ascii="Times New Roman" w:hAnsi="Times New Roman" w:cs="Times New Roman"/>
          <w:sz w:val="24"/>
          <w:szCs w:val="24"/>
        </w:rPr>
        <w:t>объекты по передаче и распределению электрической энергии (технологически связанное между собой оборудование электросетевого комплекса поселка Ягодное, поселка Сенокосный муниципального образования «Ягоднинский городской округ» Магаданской области)</w:t>
      </w:r>
    </w:p>
    <w:p w:rsidR="00247291" w:rsidRPr="00247291" w:rsidRDefault="00247291" w:rsidP="00247291">
      <w:pPr>
        <w:pStyle w:val="ConsPlusNonformat"/>
        <w:widowControl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572B" w:rsidRDefault="00DD572B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310"/>
        <w:gridCol w:w="20"/>
        <w:gridCol w:w="20"/>
        <w:gridCol w:w="30"/>
        <w:gridCol w:w="50"/>
        <w:gridCol w:w="10"/>
        <w:gridCol w:w="552"/>
        <w:gridCol w:w="1418"/>
        <w:gridCol w:w="1275"/>
        <w:gridCol w:w="2694"/>
        <w:gridCol w:w="1842"/>
      </w:tblGrid>
      <w:tr w:rsidR="00DD572B" w:rsidRPr="00B40F90" w:rsidTr="00B40F90">
        <w:trPr>
          <w:trHeight w:val="2400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DD572B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Наименование (диспетчерское наименование) имущества, входящего в состав объекта Соглашения</w:t>
            </w:r>
          </w:p>
        </w:tc>
        <w:tc>
          <w:tcPr>
            <w:tcW w:w="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537032">
            <w:pPr>
              <w:rPr>
                <w:sz w:val="16"/>
                <w:szCs w:val="16"/>
              </w:rPr>
            </w:pPr>
          </w:p>
          <w:p w:rsidR="00DD572B" w:rsidRDefault="00DD572B" w:rsidP="00537032">
            <w:pPr>
              <w:rPr>
                <w:sz w:val="16"/>
                <w:szCs w:val="16"/>
              </w:rPr>
            </w:pPr>
          </w:p>
          <w:p w:rsidR="00DD572B" w:rsidRPr="00DD572B" w:rsidRDefault="00DD572B" w:rsidP="00537032">
            <w:pPr>
              <w:rPr>
                <w:sz w:val="16"/>
                <w:szCs w:val="16"/>
              </w:rPr>
            </w:pPr>
            <w:r w:rsidRPr="00DD572B">
              <w:rPr>
                <w:sz w:val="16"/>
                <w:szCs w:val="16"/>
              </w:rPr>
              <w:t>Кол-во,шт.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537032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Адресный ориентир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537032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Срок инвестиций и год ввода в эксплу-атацию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537032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DD572B" w:rsidRDefault="00DD572B" w:rsidP="00537032">
            <w:pPr>
              <w:jc w:val="center"/>
              <w:rPr>
                <w:sz w:val="20"/>
                <w:szCs w:val="20"/>
              </w:rPr>
            </w:pPr>
            <w:r w:rsidRPr="00DD572B">
              <w:rPr>
                <w:sz w:val="20"/>
                <w:szCs w:val="20"/>
              </w:rPr>
              <w:t>Сумма инвестиций в реконструкцию и создание объекта Соглашения, руб.(без НДС)</w:t>
            </w:r>
          </w:p>
        </w:tc>
      </w:tr>
      <w:tr w:rsidR="00DD572B" w:rsidRPr="00537032" w:rsidTr="00B40F90">
        <w:trPr>
          <w:trHeight w:val="315"/>
        </w:trPr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D572B" w:rsidRPr="00B40F90" w:rsidRDefault="00DD572B" w:rsidP="00B40F90"/>
        </w:tc>
        <w:tc>
          <w:tcPr>
            <w:tcW w:w="7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Pr="00B40F90" w:rsidRDefault="00FB5819" w:rsidP="00B40F90">
            <w:r>
              <w:t xml:space="preserve">                        </w:t>
            </w:r>
            <w:r w:rsidR="00DD572B" w:rsidRPr="00B40F90">
              <w:t>Создаваемое имущество</w:t>
            </w:r>
          </w:p>
        </w:tc>
      </w:tr>
      <w:tr w:rsidR="00DD572B" w:rsidRPr="00537032" w:rsidTr="00DD572B">
        <w:trPr>
          <w:trHeight w:val="3285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Комплектная трансформаторная подстанция (КТПН) (№1)</w:t>
            </w:r>
          </w:p>
        </w:tc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  <w:r w:rsidRPr="00537032">
              <w:rPr>
                <w:sz w:val="20"/>
                <w:szCs w:val="20"/>
              </w:rPr>
              <w:br/>
              <w:t>Мощность трансформатора 250 кВА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 1718607,4</w:t>
            </w:r>
          </w:p>
        </w:tc>
      </w:tr>
      <w:tr w:rsidR="00DD572B" w:rsidRPr="00537032" w:rsidTr="00DD572B">
        <w:trPr>
          <w:trHeight w:val="5646"/>
        </w:trPr>
        <w:tc>
          <w:tcPr>
            <w:tcW w:w="2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Комплектная трансформаторная подстанция (КТПН) (№4)</w:t>
            </w:r>
          </w:p>
        </w:tc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Таёжный городок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</w:t>
            </w:r>
            <w:r w:rsidRPr="00537032">
              <w:rPr>
                <w:sz w:val="20"/>
                <w:szCs w:val="20"/>
              </w:rPr>
              <w:br/>
              <w:t>Мощность трансформатора 630 кВА</w:t>
            </w: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2072234,07</w:t>
            </w: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 </w:t>
            </w:r>
          </w:p>
        </w:tc>
      </w:tr>
      <w:tr w:rsidR="00537032" w:rsidRPr="00537032" w:rsidTr="00537032">
        <w:trPr>
          <w:trHeight w:val="285"/>
        </w:trPr>
        <w:tc>
          <w:tcPr>
            <w:tcW w:w="10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32" w:rsidRPr="00537032" w:rsidRDefault="00537032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Реконструируемое имущество</w:t>
            </w:r>
          </w:p>
        </w:tc>
      </w:tr>
      <w:tr w:rsidR="00DD572B" w:rsidRPr="00537032" w:rsidTr="00DD572B">
        <w:trPr>
          <w:trHeight w:val="2805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№2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Школьная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2021, 2026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672852,38</w:t>
            </w:r>
          </w:p>
        </w:tc>
      </w:tr>
      <w:tr w:rsidR="00DD572B" w:rsidRPr="00537032" w:rsidTr="00DD572B">
        <w:trPr>
          <w:trHeight w:val="2863"/>
        </w:trPr>
        <w:tc>
          <w:tcPr>
            <w:tcW w:w="2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№3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Механическая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2024,2031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DD572B">
        <w:trPr>
          <w:trHeight w:val="2820"/>
        </w:trPr>
        <w:tc>
          <w:tcPr>
            <w:tcW w:w="2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№5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2024,2029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868042,69</w:t>
            </w:r>
          </w:p>
        </w:tc>
      </w:tr>
      <w:tr w:rsidR="00DD572B" w:rsidRPr="00537032" w:rsidTr="00DD572B">
        <w:trPr>
          <w:trHeight w:val="2689"/>
        </w:trPr>
        <w:tc>
          <w:tcPr>
            <w:tcW w:w="2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№6</w:t>
            </w:r>
          </w:p>
        </w:tc>
        <w:tc>
          <w:tcPr>
            <w:tcW w:w="6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DD572B">
        <w:trPr>
          <w:trHeight w:val="2682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№7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DD572B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DD5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2022,2027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1288397,24</w:t>
            </w:r>
          </w:p>
        </w:tc>
      </w:tr>
      <w:tr w:rsidR="00DD572B" w:rsidRPr="00537032" w:rsidTr="00A6041A">
        <w:trPr>
          <w:trHeight w:val="28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37032">
              <w:rPr>
                <w:sz w:val="20"/>
                <w:szCs w:val="20"/>
              </w:rPr>
              <w:t>рансформаторная подстанция №8</w:t>
            </w:r>
          </w:p>
        </w:tc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Default="00DD572B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Default="00DD572B" w:rsidP="00537032">
            <w:pPr>
              <w:jc w:val="center"/>
              <w:rPr>
                <w:sz w:val="20"/>
                <w:szCs w:val="20"/>
              </w:rPr>
            </w:pPr>
          </w:p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DD572B">
        <w:trPr>
          <w:trHeight w:val="2689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№9</w:t>
            </w:r>
          </w:p>
        </w:tc>
        <w:tc>
          <w:tcPr>
            <w:tcW w:w="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2023,2028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DD572B">
        <w:trPr>
          <w:trHeight w:val="2827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№10</w:t>
            </w:r>
          </w:p>
        </w:tc>
        <w:tc>
          <w:tcPr>
            <w:tcW w:w="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Школьная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2021, 2034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320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675828,79</w:t>
            </w:r>
          </w:p>
        </w:tc>
      </w:tr>
      <w:tr w:rsidR="00DD572B" w:rsidRPr="00537032" w:rsidTr="00DD572B">
        <w:trPr>
          <w:trHeight w:val="268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№11</w:t>
            </w:r>
          </w:p>
        </w:tc>
        <w:tc>
          <w:tcPr>
            <w:tcW w:w="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Пушкинская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2025,2030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584672">
        <w:trPr>
          <w:trHeight w:val="2833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№12</w:t>
            </w:r>
          </w:p>
        </w:tc>
        <w:tc>
          <w:tcPr>
            <w:tcW w:w="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2022,2027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1177445,24</w:t>
            </w:r>
          </w:p>
        </w:tc>
      </w:tr>
      <w:tr w:rsidR="00DD572B" w:rsidRPr="00537032" w:rsidTr="00584672">
        <w:trPr>
          <w:trHeight w:val="2973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Спортивная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2024,2035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 1177445,24</w:t>
            </w:r>
          </w:p>
        </w:tc>
      </w:tr>
      <w:tr w:rsidR="00DD572B" w:rsidRPr="00537032" w:rsidTr="00DD572B">
        <w:trPr>
          <w:trHeight w:val="2689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№14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Ленина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2024, 2031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1177445,24</w:t>
            </w:r>
          </w:p>
        </w:tc>
      </w:tr>
      <w:tr w:rsidR="00DD572B" w:rsidRPr="00537032" w:rsidTr="00DD572B">
        <w:trPr>
          <w:trHeight w:val="2682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2021,2026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DD572B">
        <w:trPr>
          <w:trHeight w:val="2833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№16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2024,2029, 2034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584672">
        <w:trPr>
          <w:trHeight w:val="2972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№17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1A" w:rsidRDefault="00A6041A" w:rsidP="00A6041A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A6041A" w:rsidP="00A60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Транспортная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2023, 2032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1A" w:rsidRDefault="00A6041A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584672">
        <w:trPr>
          <w:trHeight w:val="2831"/>
        </w:trPr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2023,2028, 2034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DD572B">
        <w:trPr>
          <w:trHeight w:val="2824"/>
        </w:trPr>
        <w:tc>
          <w:tcPr>
            <w:tcW w:w="2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№19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Ягодное, 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2021, 2027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1288397,24</w:t>
            </w:r>
          </w:p>
        </w:tc>
      </w:tr>
      <w:tr w:rsidR="00DD572B" w:rsidRPr="00537032" w:rsidTr="00DD572B">
        <w:trPr>
          <w:trHeight w:val="2834"/>
        </w:trPr>
        <w:tc>
          <w:tcPr>
            <w:tcW w:w="2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трансформатором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 </w:t>
            </w: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480638,48</w:t>
            </w:r>
          </w:p>
        </w:tc>
      </w:tr>
      <w:tr w:rsidR="00DD572B" w:rsidRPr="00537032" w:rsidTr="00DD572B">
        <w:trPr>
          <w:trHeight w:val="2691"/>
        </w:trPr>
        <w:tc>
          <w:tcPr>
            <w:tcW w:w="2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2022,2027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903969,46</w:t>
            </w:r>
          </w:p>
        </w:tc>
      </w:tr>
      <w:tr w:rsidR="00DD572B" w:rsidRPr="00537032" w:rsidTr="00DD572B">
        <w:trPr>
          <w:trHeight w:val="2815"/>
        </w:trPr>
        <w:tc>
          <w:tcPr>
            <w:tcW w:w="2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2021,2026, 2033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1177445,24</w:t>
            </w:r>
          </w:p>
        </w:tc>
      </w:tr>
      <w:tr w:rsidR="00DD572B" w:rsidRPr="00537032" w:rsidTr="00DD572B">
        <w:trPr>
          <w:trHeight w:val="2823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Сенокосный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2025,2028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672852,38</w:t>
            </w:r>
          </w:p>
        </w:tc>
      </w:tr>
      <w:tr w:rsidR="00DD572B" w:rsidRPr="00537032" w:rsidTr="00DD572B">
        <w:trPr>
          <w:trHeight w:val="3118"/>
        </w:trPr>
        <w:tc>
          <w:tcPr>
            <w:tcW w:w="2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№25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2030,2034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2 трансформаторами мощностью 400 кВА и 630кВА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1096183,39</w:t>
            </w:r>
          </w:p>
        </w:tc>
      </w:tr>
      <w:tr w:rsidR="00DD572B" w:rsidRPr="00537032" w:rsidTr="00DD572B">
        <w:trPr>
          <w:trHeight w:val="2965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Сенокосный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2022,2027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капитального типа, оборудована 1 трансформаторами мощностью 630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672852,38</w:t>
            </w:r>
          </w:p>
        </w:tc>
      </w:tr>
      <w:tr w:rsidR="00DD572B" w:rsidRPr="00537032" w:rsidTr="00DD572B">
        <w:trPr>
          <w:trHeight w:val="2823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передвижного типа, оборудована 1 трансформаторами мощностью 320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692989,94</w:t>
            </w:r>
          </w:p>
        </w:tc>
      </w:tr>
      <w:tr w:rsidR="00DD572B" w:rsidRPr="00537032" w:rsidTr="00DD572B">
        <w:trPr>
          <w:trHeight w:val="2821"/>
        </w:trPr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№27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72" w:rsidRDefault="00584672" w:rsidP="0058467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584672" w:rsidP="00584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4672" w:rsidRDefault="00584672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передвижного типа, оборудована 1 трансформаторами мощностью 400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72" w:rsidRDefault="00584672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607069,74</w:t>
            </w:r>
          </w:p>
        </w:tc>
      </w:tr>
      <w:tr w:rsidR="00DD572B" w:rsidRPr="00537032" w:rsidTr="00DD572B">
        <w:trPr>
          <w:trHeight w:val="2541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F9681C" w:rsidP="00537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D572B" w:rsidRPr="00537032">
              <w:rPr>
                <w:sz w:val="20"/>
                <w:szCs w:val="20"/>
              </w:rPr>
              <w:t>рансформаторная подстанция №АЗС(31)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F9681C" w:rsidP="00537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Магаданская область, Ягоднинский район, п. Ягодное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2025,2030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Трансформаторная подстанция передвижного типа, оборудована 1 трансформаторами мощностью 250 кВА марки ТМ 6/0,4 кВ, с вводным распределительным устройством 6 кВ и распределительным устройством 0,4 кВ</w:t>
            </w: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1392943,62</w:t>
            </w:r>
          </w:p>
        </w:tc>
      </w:tr>
      <w:tr w:rsidR="00DD572B" w:rsidRPr="00537032" w:rsidTr="00DD572B">
        <w:trPr>
          <w:trHeight w:val="628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Линии электропередач  6 кВ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Pr="00537032" w:rsidRDefault="00DD572B" w:rsidP="005370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п. Ягодное , Сенокосный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2021-2034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Линии электропередач, тип опор – деревянные, провод марки АС.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10745581,58</w:t>
            </w:r>
          </w:p>
        </w:tc>
      </w:tr>
      <w:tr w:rsidR="00DD572B" w:rsidRPr="00537032" w:rsidTr="00DD572B">
        <w:trPr>
          <w:trHeight w:val="877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Линии электропередач  0,4 кВ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2B" w:rsidRPr="00537032" w:rsidRDefault="00DD572B" w:rsidP="005370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704" w:rsidRDefault="008F0704" w:rsidP="00537032">
            <w:pPr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п. Ягодное , Сенокосный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2021-2034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Линии электропередач, тип опор – деревянные, провод марки АС.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704" w:rsidRDefault="008F0704" w:rsidP="00537032">
            <w:pPr>
              <w:jc w:val="center"/>
              <w:rPr>
                <w:sz w:val="20"/>
                <w:szCs w:val="20"/>
              </w:rPr>
            </w:pPr>
          </w:p>
          <w:p w:rsidR="00DD572B" w:rsidRPr="00537032" w:rsidRDefault="00DD572B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11384249,58</w:t>
            </w:r>
          </w:p>
        </w:tc>
      </w:tr>
      <w:tr w:rsidR="00537032" w:rsidRPr="00537032" w:rsidTr="00DD572B">
        <w:trPr>
          <w:trHeight w:val="553"/>
        </w:trPr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32" w:rsidRPr="00537032" w:rsidRDefault="00537032" w:rsidP="00537032">
            <w:pPr>
              <w:jc w:val="right"/>
              <w:rPr>
                <w:sz w:val="20"/>
                <w:szCs w:val="20"/>
                <w:lang w:val="en-US"/>
              </w:rPr>
            </w:pPr>
            <w:r w:rsidRPr="00537032">
              <w:rPr>
                <w:sz w:val="20"/>
                <w:szCs w:val="20"/>
              </w:rPr>
              <w:t>Итого</w:t>
            </w:r>
            <w:r w:rsidRPr="00537032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32" w:rsidRPr="00537032" w:rsidRDefault="00537032" w:rsidP="00537032">
            <w:pPr>
              <w:jc w:val="center"/>
              <w:rPr>
                <w:sz w:val="20"/>
                <w:szCs w:val="20"/>
              </w:rPr>
            </w:pPr>
            <w:r w:rsidRPr="00537032">
              <w:rPr>
                <w:sz w:val="20"/>
                <w:szCs w:val="20"/>
              </w:rPr>
              <w:t>48 385 872,53‬</w:t>
            </w:r>
          </w:p>
        </w:tc>
      </w:tr>
    </w:tbl>
    <w:p w:rsidR="00537032" w:rsidRDefault="00537032" w:rsidP="00537032">
      <w:pPr>
        <w:jc w:val="center"/>
        <w:rPr>
          <w:rFonts w:eastAsia="Calibri"/>
          <w:sz w:val="20"/>
          <w:szCs w:val="20"/>
        </w:rPr>
      </w:pPr>
    </w:p>
    <w:p w:rsidR="007928CE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Pr="00537032" w:rsidRDefault="007928CE" w:rsidP="00537032">
      <w:pPr>
        <w:jc w:val="center"/>
        <w:rPr>
          <w:rFonts w:eastAsia="Calibri"/>
          <w:sz w:val="20"/>
          <w:szCs w:val="20"/>
        </w:rPr>
      </w:pPr>
    </w:p>
    <w:p w:rsidR="007928CE" w:rsidRPr="00C80230" w:rsidRDefault="007928CE" w:rsidP="007928C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0230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Pr="00C80230">
        <w:rPr>
          <w:rFonts w:ascii="Times New Roman" w:hAnsi="Times New Roman" w:cs="Times New Roman"/>
          <w:b/>
          <w:bCs/>
          <w:sz w:val="24"/>
          <w:szCs w:val="24"/>
        </w:rPr>
        <w:t>ИНОМ ИМУЩЕСТВЕ</w:t>
      </w:r>
      <w:r w:rsidRPr="00C80230">
        <w:rPr>
          <w:rFonts w:ascii="Times New Roman" w:hAnsi="Times New Roman" w:cs="Times New Roman"/>
          <w:b/>
          <w:sz w:val="24"/>
          <w:szCs w:val="24"/>
        </w:rPr>
        <w:t>&lt;2&gt;</w:t>
      </w:r>
    </w:p>
    <w:p w:rsidR="00BE02D8" w:rsidRPr="00537032" w:rsidRDefault="00BE02D8" w:rsidP="00BE02D8">
      <w:pPr>
        <w:pStyle w:val="ConsPlusNonformat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409"/>
        <w:gridCol w:w="3402"/>
      </w:tblGrid>
      <w:tr w:rsidR="007928CE" w:rsidRPr="00537032" w:rsidTr="007928CE">
        <w:tc>
          <w:tcPr>
            <w:tcW w:w="675" w:type="dxa"/>
            <w:shd w:val="clear" w:color="auto" w:fill="auto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№</w:t>
            </w:r>
          </w:p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пп</w:t>
            </w:r>
          </w:p>
        </w:tc>
        <w:tc>
          <w:tcPr>
            <w:tcW w:w="3828" w:type="dxa"/>
            <w:shd w:val="clear" w:color="auto" w:fill="auto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Наименование имущества</w:t>
            </w:r>
          </w:p>
        </w:tc>
        <w:tc>
          <w:tcPr>
            <w:tcW w:w="2409" w:type="dxa"/>
            <w:shd w:val="clear" w:color="auto" w:fill="auto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Адрес и местонахождение имущества</w:t>
            </w:r>
          </w:p>
        </w:tc>
        <w:tc>
          <w:tcPr>
            <w:tcW w:w="3402" w:type="dxa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Общая площадь</w:t>
            </w:r>
          </w:p>
        </w:tc>
      </w:tr>
      <w:tr w:rsidR="007928CE" w:rsidRPr="00537032" w:rsidTr="007928CE">
        <w:tc>
          <w:tcPr>
            <w:tcW w:w="675" w:type="dxa"/>
            <w:shd w:val="clear" w:color="auto" w:fill="auto"/>
            <w:vAlign w:val="center"/>
          </w:tcPr>
          <w:p w:rsidR="007928CE" w:rsidRPr="00537032" w:rsidRDefault="007928CE" w:rsidP="0008075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sz w:val="20"/>
                <w:szCs w:val="20"/>
              </w:rPr>
              <w:t>Комплектная трансформаторная подстанция наружной установки КПТН-6/0,4 кВ, тип силового трансформатора ТМФ-400/6, шкаф ввода ВН-ШВВ-1, шкаф ввода НН-КБН-1(п.Сенокосный),Трансформаторная подстанция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 w:rsidRPr="00537032">
              <w:rPr>
                <w:rFonts w:eastAsia="Calibri"/>
                <w:color w:val="000000"/>
                <w:sz w:val="20"/>
                <w:szCs w:val="20"/>
              </w:rPr>
              <w:t>п. Сенокосный</w:t>
            </w:r>
          </w:p>
        </w:tc>
        <w:tc>
          <w:tcPr>
            <w:tcW w:w="3402" w:type="dxa"/>
            <w:vAlign w:val="center"/>
          </w:tcPr>
          <w:p w:rsidR="007928CE" w:rsidRPr="00537032" w:rsidRDefault="007928CE" w:rsidP="000807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(движимое имущество)</w:t>
            </w:r>
          </w:p>
        </w:tc>
      </w:tr>
    </w:tbl>
    <w:p w:rsidR="00537032" w:rsidRPr="00537032" w:rsidRDefault="00537032" w:rsidP="00537032">
      <w:pPr>
        <w:pStyle w:val="ConsPlusNonformat"/>
        <w:ind w:firstLine="708"/>
        <w:jc w:val="right"/>
        <w:rPr>
          <w:rFonts w:ascii="Times New Roman" w:hAnsi="Times New Roman" w:cs="Times New Roman"/>
        </w:rPr>
      </w:pPr>
    </w:p>
    <w:p w:rsidR="00537032" w:rsidRPr="00537032" w:rsidRDefault="00537032" w:rsidP="00F53A29">
      <w:pPr>
        <w:pStyle w:val="ConsPlusNonformat"/>
        <w:rPr>
          <w:rFonts w:ascii="Times New Roman" w:hAnsi="Times New Roman" w:cs="Times New Roman"/>
        </w:rPr>
        <w:sectPr w:rsidR="00537032" w:rsidRPr="00537032" w:rsidSect="00537032">
          <w:pgSz w:w="11900" w:h="16840"/>
          <w:pgMar w:top="993" w:right="701" w:bottom="567" w:left="851" w:header="567" w:footer="567" w:gutter="0"/>
          <w:pgNumType w:start="1"/>
          <w:cols w:space="708"/>
          <w:titlePg/>
          <w:docGrid w:linePitch="360"/>
        </w:sectPr>
      </w:pPr>
    </w:p>
    <w:p w:rsidR="00BE1C94" w:rsidRPr="00F53A29" w:rsidRDefault="00BE1C94" w:rsidP="00F53A2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3001BE" w:rsidRPr="00662C0A" w:rsidTr="00B4611F">
        <w:tc>
          <w:tcPr>
            <w:tcW w:w="3645" w:type="dxa"/>
          </w:tcPr>
          <w:p w:rsidR="00C059CF" w:rsidRDefault="003001BE" w:rsidP="00C059CF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</w:t>
            </w:r>
          </w:p>
          <w:p w:rsidR="003001BE" w:rsidRPr="00A00736" w:rsidRDefault="00205434" w:rsidP="00C059CF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73B9C">
              <w:rPr>
                <w:sz w:val="22"/>
                <w:szCs w:val="22"/>
              </w:rPr>
              <w:t xml:space="preserve">                    </w:t>
            </w:r>
            <w:r w:rsidR="00C059CF">
              <w:rPr>
                <w:sz w:val="22"/>
                <w:szCs w:val="22"/>
              </w:rPr>
              <w:t xml:space="preserve"> </w:t>
            </w:r>
            <w:r w:rsidR="00C73B9C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года </w:t>
            </w:r>
            <w:r w:rsidR="00C73B9C">
              <w:rPr>
                <w:sz w:val="22"/>
                <w:szCs w:val="22"/>
              </w:rPr>
              <w:t>№____</w:t>
            </w:r>
            <w:r w:rsidR="003001BE">
              <w:rPr>
                <w:sz w:val="22"/>
                <w:szCs w:val="22"/>
              </w:rPr>
              <w:t xml:space="preserve">        </w:t>
            </w: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453378" w:rsidRDefault="00247291" w:rsidP="00C72583">
      <w:pPr>
        <w:jc w:val="center"/>
        <w:rPr>
          <w:b/>
          <w:color w:val="000000"/>
        </w:rPr>
      </w:pPr>
      <w:r>
        <w:rPr>
          <w:b/>
        </w:rPr>
        <w:t>П</w:t>
      </w:r>
      <w:r w:rsidR="00390250" w:rsidRPr="00453378">
        <w:rPr>
          <w:b/>
        </w:rPr>
        <w:t>орядок принятия заявок о готовности к участию в конкурсе на право заключения концессионного соглашения в отношении</w:t>
      </w:r>
      <w:r w:rsidR="00453378" w:rsidRPr="00453378">
        <w:rPr>
          <w:b/>
        </w:rPr>
        <w:t xml:space="preserve"> </w:t>
      </w:r>
      <w:r w:rsidR="00C72583" w:rsidRPr="005D70D7">
        <w:rPr>
          <w:b/>
        </w:rPr>
        <w:t>объектов по передаче и распределению электрической энергии (технологически связанного между собой оборудования электросетевого комплекса поселка Ягодное, поселка Сенокосный муниципального образования «Ягоднинский городской округ» Магаданской области)</w:t>
      </w:r>
      <w:r w:rsidR="00453378" w:rsidRPr="005D70D7">
        <w:rPr>
          <w:b/>
        </w:rPr>
        <w:t xml:space="preserve">, </w:t>
      </w:r>
      <w:r w:rsidR="00390250" w:rsidRPr="005D70D7">
        <w:rPr>
          <w:b/>
        </w:rPr>
        <w:t>на условиях</w:t>
      </w:r>
      <w:r w:rsidR="00390250" w:rsidRPr="00453378">
        <w:rPr>
          <w:b/>
        </w:rPr>
        <w:t xml:space="preserve">, определённых в предложении о заключении концессионного соглашения, </w:t>
      </w:r>
      <w:r w:rsidR="00987FF8">
        <w:rPr>
          <w:b/>
        </w:rPr>
        <w:t>от иных лиц</w:t>
      </w:r>
    </w:p>
    <w:p w:rsidR="00390250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 xml:space="preserve">1. Требования к лицу, выступающему с инициативой заключения концессионного соглашения, а также иным лицам, подающим заявки </w:t>
      </w:r>
      <w:r w:rsidR="00C72583">
        <w:rPr>
          <w:rFonts w:ascii="Times New Roman" w:hAnsi="Times New Roman" w:cs="Times New Roman"/>
          <w:b/>
          <w:sz w:val="24"/>
          <w:szCs w:val="24"/>
        </w:rPr>
        <w:t xml:space="preserve">о готовности к участию в конкурсе </w:t>
      </w:r>
      <w:r w:rsidRPr="005E0AEE">
        <w:rPr>
          <w:rFonts w:ascii="Times New Roman" w:hAnsi="Times New Roman" w:cs="Times New Roman"/>
          <w:b/>
          <w:sz w:val="24"/>
          <w:szCs w:val="24"/>
        </w:rPr>
        <w:t xml:space="preserve">на заключение концессионного соглашения, в соответствии с Федеральным законом </w:t>
      </w:r>
      <w:r w:rsidR="00C72583" w:rsidRPr="005E0AEE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Pr="005E0AEE">
        <w:rPr>
          <w:rFonts w:ascii="Times New Roman" w:hAnsi="Times New Roman" w:cs="Times New Roman"/>
          <w:b/>
          <w:sz w:val="24"/>
          <w:szCs w:val="24"/>
        </w:rPr>
        <w:t xml:space="preserve">№ 115-ФЗ 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«О концессионных соглашениях»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 w:rsidRPr="005E0AEE">
        <w:t xml:space="preserve"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</w:t>
      </w:r>
      <w:r w:rsidR="00CA0194" w:rsidRPr="005D70D7">
        <w:t>проекте</w:t>
      </w:r>
      <w:r w:rsidRPr="005E0AEE">
        <w:t xml:space="preserve">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>Федерального закона № 115-ФЗ от 21.07.2005 «О концессионных соглашениях», к лицу, выступающему с инициативой заключения концессионного соглашения) на официальном сайте в информационно-телекоммуникационной сети «Интернет» для размещения информации о проведении торгов, определенном Прав</w:t>
      </w:r>
      <w:r w:rsidR="009A7D57">
        <w:t>ительством Российской Федерации</w:t>
      </w:r>
      <w:r w:rsidRPr="005E0AEE">
        <w:t xml:space="preserve"> </w:t>
      </w:r>
      <w:r w:rsidRPr="00AE7DF9">
        <w:t xml:space="preserve">- </w:t>
      </w:r>
      <w:hyperlink r:id="rId12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torgi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gov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ru</w:t>
        </w:r>
      </w:hyperlink>
      <w:r w:rsidRPr="00AE7DF9">
        <w:t xml:space="preserve">, </w:t>
      </w:r>
      <w:r w:rsidRPr="005E0AEE">
        <w:t xml:space="preserve">в Администрации </w:t>
      </w:r>
      <w:r w:rsidR="00073A33">
        <w:lastRenderedPageBreak/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9A7D57">
        <w:t xml:space="preserve"> </w:t>
      </w:r>
      <w:r w:rsidR="00073A33" w:rsidRPr="000E7EBC">
        <w:t>686230</w:t>
      </w:r>
      <w:r w:rsidR="00073A33">
        <w:t>,</w:t>
      </w:r>
      <w:r w:rsidR="009A7D57">
        <w:t xml:space="preserve">Магаданская область, Ягоднинский район, </w:t>
      </w:r>
      <w:r w:rsidR="00073A33" w:rsidRPr="000E7EBC">
        <w:t>пос.</w:t>
      </w:r>
      <w:r w:rsidR="009A7D57">
        <w:t xml:space="preserve"> </w:t>
      </w:r>
      <w:r w:rsidR="00073A33" w:rsidRPr="000E7EBC">
        <w:t>Ягодное, ул.</w:t>
      </w:r>
      <w:r w:rsidR="009A7D57">
        <w:t xml:space="preserve"> </w:t>
      </w:r>
      <w:r w:rsidR="00073A33" w:rsidRPr="000E7EBC">
        <w:t>Спортивная, дом 6</w:t>
      </w:r>
      <w:r w:rsidR="00073A33">
        <w:t>, т</w:t>
      </w:r>
      <w:r w:rsidR="00D96956">
        <w:t>ел.: 8413 (43) 2-25-97</w:t>
      </w:r>
      <w:r w:rsidR="00073A33" w:rsidRPr="000E7EBC">
        <w:t xml:space="preserve">, </w:t>
      </w:r>
      <w:r w:rsidR="00073A33" w:rsidRPr="003001BE">
        <w:t>факс 8413 (43) 2-20-42.</w:t>
      </w:r>
      <w:r w:rsidR="00843F09" w:rsidRPr="003001BE">
        <w:t xml:space="preserve"> </w:t>
      </w:r>
      <w:r w:rsidRPr="003001BE">
        <w:t xml:space="preserve">кабинет </w:t>
      </w:r>
      <w:r w:rsidR="009A7D57">
        <w:t>307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080756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Пн.-чт. с 9.00 до 18</w:t>
      </w:r>
      <w:r w:rsidR="005E0AEE" w:rsidRPr="003001BE">
        <w:t>.</w:t>
      </w:r>
      <w:r w:rsidR="003001BE" w:rsidRPr="003001BE">
        <w:t>15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5E0AEE" w:rsidRPr="00AE7DF9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 xml:space="preserve">. Принятие решения о заключении концессионного соглашения </w:t>
      </w:r>
      <w:r w:rsidR="00390250" w:rsidRPr="005D70D7">
        <w:rPr>
          <w:b/>
        </w:rPr>
        <w:t xml:space="preserve">с </w:t>
      </w:r>
      <w:r w:rsidR="00410DD5" w:rsidRPr="005D70D7">
        <w:rPr>
          <w:b/>
        </w:rPr>
        <w:t>лицом, выступившим с инициативой заключения концессионного соглашения</w:t>
      </w:r>
      <w:r w:rsidR="00390250" w:rsidRPr="005D70D7">
        <w:rPr>
          <w:b/>
        </w:rPr>
        <w:t>, либо</w:t>
      </w:r>
      <w:r w:rsidR="00390250" w:rsidRPr="005E0AEE">
        <w:rPr>
          <w:b/>
        </w:rPr>
        <w:t xml:space="preserve">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B02E8C" w:rsidRPr="005E0AEE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В случае, если в сорокапятидневный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>, орган, уполномоченный муниципальным образованием на рассмотрение предложения о заключении концессионного соглашения, обязан разместить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 xml:space="preserve">В случае, если в сорокапятидневный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="00C72583">
        <w:rPr>
          <w:rStyle w:val="apple-converted-space"/>
        </w:rPr>
        <w:t xml:space="preserve"> 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2)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0" w:name="_GoBack"/>
      <w:bookmarkEnd w:id="0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4</w:t>
      </w:r>
      <w:r w:rsidR="00D202DA">
        <w:rPr>
          <w:b/>
          <w:bCs/>
          <w:iCs/>
          <w:color w:val="000000"/>
        </w:rPr>
        <w:t xml:space="preserve">. </w:t>
      </w:r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 xml:space="preserve"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</w:t>
      </w:r>
      <w:r w:rsidR="00D202DA" w:rsidRPr="00A33203">
        <w:rPr>
          <w:b/>
        </w:rPr>
        <w:lastRenderedPageBreak/>
        <w:t>предусмотренного в предложении о заключении концессионного соглашения, от иных 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</w:t>
      </w:r>
      <w:r w:rsidR="00D202DA" w:rsidRPr="00C72583">
        <w:rPr>
          <w:b/>
        </w:rPr>
        <w:t xml:space="preserve">закона </w:t>
      </w:r>
      <w:r w:rsidR="001C0C71" w:rsidRPr="00C72583">
        <w:rPr>
          <w:b/>
        </w:rPr>
        <w:t>от 21.07.2005 года</w:t>
      </w:r>
      <w:r w:rsidR="001C0C71">
        <w:t xml:space="preserve"> </w:t>
      </w:r>
      <w:r w:rsidR="00D202DA" w:rsidRPr="00A33203">
        <w:rPr>
          <w:b/>
        </w:rPr>
        <w:t>№ 115-ФЗ «О концессионных соглашениях»</w:t>
      </w:r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r w:rsidRPr="00A33203"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</w:t>
      </w:r>
      <w:r w:rsidR="00986CB6">
        <w:t xml:space="preserve"> </w:t>
      </w:r>
      <w:r w:rsidRPr="00A33203">
        <w:t>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 xml:space="preserve">«___» _______________ </w:t>
      </w:r>
      <w:r w:rsidRPr="005D70D7">
        <w:rPr>
          <w:color w:val="000000"/>
        </w:rPr>
        <w:t>20</w:t>
      </w:r>
      <w:r w:rsidR="00C72583" w:rsidRPr="005D70D7">
        <w:rPr>
          <w:color w:val="000000"/>
        </w:rPr>
        <w:t>2</w:t>
      </w:r>
      <w:r w:rsidRPr="005D70D7">
        <w:rPr>
          <w:color w:val="000000"/>
        </w:rPr>
        <w:t>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действующего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предоставляем документы согласно описи на _____страницах.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Место нахождение: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04" w:rsidRDefault="007D0A04" w:rsidP="00B4611F">
      <w:r>
        <w:separator/>
      </w:r>
    </w:p>
  </w:endnote>
  <w:endnote w:type="continuationSeparator" w:id="1">
    <w:p w:rsidR="007D0A04" w:rsidRDefault="007D0A04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04" w:rsidRDefault="007D0A04" w:rsidP="00B4611F">
      <w:r>
        <w:separator/>
      </w:r>
    </w:p>
  </w:footnote>
  <w:footnote w:type="continuationSeparator" w:id="1">
    <w:p w:rsidR="007D0A04" w:rsidRDefault="007D0A04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309F"/>
    <w:rsid w:val="000165FD"/>
    <w:rsid w:val="00017D00"/>
    <w:rsid w:val="0002774A"/>
    <w:rsid w:val="0003174F"/>
    <w:rsid w:val="000338F6"/>
    <w:rsid w:val="000345B4"/>
    <w:rsid w:val="00042D6E"/>
    <w:rsid w:val="00054BE1"/>
    <w:rsid w:val="00056DFA"/>
    <w:rsid w:val="00073A33"/>
    <w:rsid w:val="00080756"/>
    <w:rsid w:val="00081D4D"/>
    <w:rsid w:val="000956C4"/>
    <w:rsid w:val="000A7ED9"/>
    <w:rsid w:val="000B2EDE"/>
    <w:rsid w:val="000B416B"/>
    <w:rsid w:val="000C2C6F"/>
    <w:rsid w:val="000D00D8"/>
    <w:rsid w:val="000D4964"/>
    <w:rsid w:val="00100C37"/>
    <w:rsid w:val="0011169F"/>
    <w:rsid w:val="0011179E"/>
    <w:rsid w:val="00115274"/>
    <w:rsid w:val="00116D9D"/>
    <w:rsid w:val="001243FC"/>
    <w:rsid w:val="0014620F"/>
    <w:rsid w:val="00160310"/>
    <w:rsid w:val="00170585"/>
    <w:rsid w:val="00174CD9"/>
    <w:rsid w:val="001763C4"/>
    <w:rsid w:val="001774A8"/>
    <w:rsid w:val="001975A5"/>
    <w:rsid w:val="001B3AD6"/>
    <w:rsid w:val="001B4E09"/>
    <w:rsid w:val="001C0961"/>
    <w:rsid w:val="001C0C71"/>
    <w:rsid w:val="001C5B48"/>
    <w:rsid w:val="001D1058"/>
    <w:rsid w:val="001D1599"/>
    <w:rsid w:val="001D4C32"/>
    <w:rsid w:val="001E5BD5"/>
    <w:rsid w:val="001F623E"/>
    <w:rsid w:val="00200046"/>
    <w:rsid w:val="00205434"/>
    <w:rsid w:val="002063BD"/>
    <w:rsid w:val="0021756D"/>
    <w:rsid w:val="00234730"/>
    <w:rsid w:val="00235E95"/>
    <w:rsid w:val="00236295"/>
    <w:rsid w:val="002365C7"/>
    <w:rsid w:val="00240181"/>
    <w:rsid w:val="00242DAB"/>
    <w:rsid w:val="00247291"/>
    <w:rsid w:val="00250E7E"/>
    <w:rsid w:val="00253792"/>
    <w:rsid w:val="00264746"/>
    <w:rsid w:val="00264E1E"/>
    <w:rsid w:val="00266E94"/>
    <w:rsid w:val="002675F2"/>
    <w:rsid w:val="00270AD9"/>
    <w:rsid w:val="0029570A"/>
    <w:rsid w:val="002A092F"/>
    <w:rsid w:val="002A0D9D"/>
    <w:rsid w:val="002A6F90"/>
    <w:rsid w:val="002C527F"/>
    <w:rsid w:val="003001BE"/>
    <w:rsid w:val="0030723D"/>
    <w:rsid w:val="00313E0D"/>
    <w:rsid w:val="0031623F"/>
    <w:rsid w:val="00335548"/>
    <w:rsid w:val="003479F0"/>
    <w:rsid w:val="00347DED"/>
    <w:rsid w:val="003505ED"/>
    <w:rsid w:val="0035191D"/>
    <w:rsid w:val="00353916"/>
    <w:rsid w:val="00355562"/>
    <w:rsid w:val="00364A23"/>
    <w:rsid w:val="00371A44"/>
    <w:rsid w:val="00383062"/>
    <w:rsid w:val="00387243"/>
    <w:rsid w:val="00390250"/>
    <w:rsid w:val="00393B82"/>
    <w:rsid w:val="003B1B4F"/>
    <w:rsid w:val="003B5062"/>
    <w:rsid w:val="003C026F"/>
    <w:rsid w:val="003C1952"/>
    <w:rsid w:val="003C48E2"/>
    <w:rsid w:val="003C52C6"/>
    <w:rsid w:val="003D71D1"/>
    <w:rsid w:val="003D7DE2"/>
    <w:rsid w:val="003E5E21"/>
    <w:rsid w:val="003F0169"/>
    <w:rsid w:val="003F59A1"/>
    <w:rsid w:val="003F7834"/>
    <w:rsid w:val="00403EEE"/>
    <w:rsid w:val="00406B83"/>
    <w:rsid w:val="00410DD5"/>
    <w:rsid w:val="00415BEE"/>
    <w:rsid w:val="00426111"/>
    <w:rsid w:val="004417A3"/>
    <w:rsid w:val="004431DF"/>
    <w:rsid w:val="00447DE8"/>
    <w:rsid w:val="00453378"/>
    <w:rsid w:val="004650C2"/>
    <w:rsid w:val="00487E2D"/>
    <w:rsid w:val="004A76C0"/>
    <w:rsid w:val="004B48D5"/>
    <w:rsid w:val="004C7E37"/>
    <w:rsid w:val="004D1CE1"/>
    <w:rsid w:val="004D300E"/>
    <w:rsid w:val="004D50CF"/>
    <w:rsid w:val="004E1D1E"/>
    <w:rsid w:val="0051333E"/>
    <w:rsid w:val="00515646"/>
    <w:rsid w:val="00523808"/>
    <w:rsid w:val="00531019"/>
    <w:rsid w:val="00533110"/>
    <w:rsid w:val="00537032"/>
    <w:rsid w:val="00546FD8"/>
    <w:rsid w:val="005651DB"/>
    <w:rsid w:val="0057440C"/>
    <w:rsid w:val="00582BC3"/>
    <w:rsid w:val="00584672"/>
    <w:rsid w:val="00597EB0"/>
    <w:rsid w:val="005B0D82"/>
    <w:rsid w:val="005D70D7"/>
    <w:rsid w:val="005E0AEE"/>
    <w:rsid w:val="00600205"/>
    <w:rsid w:val="00607A8A"/>
    <w:rsid w:val="00622ECE"/>
    <w:rsid w:val="0064302B"/>
    <w:rsid w:val="00653D45"/>
    <w:rsid w:val="00661853"/>
    <w:rsid w:val="0067448C"/>
    <w:rsid w:val="00682AD7"/>
    <w:rsid w:val="006A1B53"/>
    <w:rsid w:val="006A26E5"/>
    <w:rsid w:val="006F3451"/>
    <w:rsid w:val="006F7764"/>
    <w:rsid w:val="00700872"/>
    <w:rsid w:val="0070335E"/>
    <w:rsid w:val="007047A3"/>
    <w:rsid w:val="00733310"/>
    <w:rsid w:val="00734D23"/>
    <w:rsid w:val="00741C18"/>
    <w:rsid w:val="00746DFF"/>
    <w:rsid w:val="0076607D"/>
    <w:rsid w:val="00790961"/>
    <w:rsid w:val="007928CE"/>
    <w:rsid w:val="007A0F6B"/>
    <w:rsid w:val="007A3E3E"/>
    <w:rsid w:val="007A78A4"/>
    <w:rsid w:val="007B4BD0"/>
    <w:rsid w:val="007B5AF3"/>
    <w:rsid w:val="007C0F28"/>
    <w:rsid w:val="007C5A14"/>
    <w:rsid w:val="007D0A04"/>
    <w:rsid w:val="007F520D"/>
    <w:rsid w:val="00806346"/>
    <w:rsid w:val="0080660C"/>
    <w:rsid w:val="008253CD"/>
    <w:rsid w:val="00843F09"/>
    <w:rsid w:val="008554EA"/>
    <w:rsid w:val="008630B6"/>
    <w:rsid w:val="00863BC2"/>
    <w:rsid w:val="00871668"/>
    <w:rsid w:val="008B0D98"/>
    <w:rsid w:val="008B4854"/>
    <w:rsid w:val="008D6043"/>
    <w:rsid w:val="008D6A5C"/>
    <w:rsid w:val="008F0704"/>
    <w:rsid w:val="00917B01"/>
    <w:rsid w:val="00934622"/>
    <w:rsid w:val="00935EBA"/>
    <w:rsid w:val="00947037"/>
    <w:rsid w:val="00964BE5"/>
    <w:rsid w:val="00967799"/>
    <w:rsid w:val="009740AF"/>
    <w:rsid w:val="00980F2E"/>
    <w:rsid w:val="0098543A"/>
    <w:rsid w:val="00986CB6"/>
    <w:rsid w:val="00986F53"/>
    <w:rsid w:val="00987FF8"/>
    <w:rsid w:val="00995131"/>
    <w:rsid w:val="009A70DC"/>
    <w:rsid w:val="009A77DB"/>
    <w:rsid w:val="009A7D57"/>
    <w:rsid w:val="009D2898"/>
    <w:rsid w:val="009D3568"/>
    <w:rsid w:val="009E6317"/>
    <w:rsid w:val="00A00922"/>
    <w:rsid w:val="00A010B5"/>
    <w:rsid w:val="00A04A51"/>
    <w:rsid w:val="00A07BFD"/>
    <w:rsid w:val="00A24A5D"/>
    <w:rsid w:val="00A3050D"/>
    <w:rsid w:val="00A312D0"/>
    <w:rsid w:val="00A33203"/>
    <w:rsid w:val="00A35DD9"/>
    <w:rsid w:val="00A4077C"/>
    <w:rsid w:val="00A4265E"/>
    <w:rsid w:val="00A53077"/>
    <w:rsid w:val="00A5736A"/>
    <w:rsid w:val="00A57ED3"/>
    <w:rsid w:val="00A6041A"/>
    <w:rsid w:val="00A64F84"/>
    <w:rsid w:val="00AA28DD"/>
    <w:rsid w:val="00AD0FB9"/>
    <w:rsid w:val="00AE7DF9"/>
    <w:rsid w:val="00B02E8C"/>
    <w:rsid w:val="00B06101"/>
    <w:rsid w:val="00B079F8"/>
    <w:rsid w:val="00B240CF"/>
    <w:rsid w:val="00B25376"/>
    <w:rsid w:val="00B32880"/>
    <w:rsid w:val="00B35048"/>
    <w:rsid w:val="00B40F48"/>
    <w:rsid w:val="00B40F90"/>
    <w:rsid w:val="00B4611F"/>
    <w:rsid w:val="00B53317"/>
    <w:rsid w:val="00B61907"/>
    <w:rsid w:val="00B71682"/>
    <w:rsid w:val="00B81456"/>
    <w:rsid w:val="00BA3778"/>
    <w:rsid w:val="00BA5D5A"/>
    <w:rsid w:val="00BA7E77"/>
    <w:rsid w:val="00BB738A"/>
    <w:rsid w:val="00BC4C81"/>
    <w:rsid w:val="00BC6EAC"/>
    <w:rsid w:val="00BE02D8"/>
    <w:rsid w:val="00BE1C94"/>
    <w:rsid w:val="00BF0ED1"/>
    <w:rsid w:val="00BF52AD"/>
    <w:rsid w:val="00BF6391"/>
    <w:rsid w:val="00C00724"/>
    <w:rsid w:val="00C0139D"/>
    <w:rsid w:val="00C059CF"/>
    <w:rsid w:val="00C14059"/>
    <w:rsid w:val="00C220F6"/>
    <w:rsid w:val="00C46FEF"/>
    <w:rsid w:val="00C66EC0"/>
    <w:rsid w:val="00C7082A"/>
    <w:rsid w:val="00C72583"/>
    <w:rsid w:val="00C73B9C"/>
    <w:rsid w:val="00C75276"/>
    <w:rsid w:val="00C771E8"/>
    <w:rsid w:val="00C80230"/>
    <w:rsid w:val="00C85045"/>
    <w:rsid w:val="00C96737"/>
    <w:rsid w:val="00C96C39"/>
    <w:rsid w:val="00CA0194"/>
    <w:rsid w:val="00CC5C55"/>
    <w:rsid w:val="00CE6DDB"/>
    <w:rsid w:val="00CF3621"/>
    <w:rsid w:val="00CF549E"/>
    <w:rsid w:val="00D0261B"/>
    <w:rsid w:val="00D0692A"/>
    <w:rsid w:val="00D202DA"/>
    <w:rsid w:val="00D20AF3"/>
    <w:rsid w:val="00D2178F"/>
    <w:rsid w:val="00D423CD"/>
    <w:rsid w:val="00D54362"/>
    <w:rsid w:val="00D54734"/>
    <w:rsid w:val="00D630A7"/>
    <w:rsid w:val="00D96956"/>
    <w:rsid w:val="00DB3169"/>
    <w:rsid w:val="00DB6EF1"/>
    <w:rsid w:val="00DC4429"/>
    <w:rsid w:val="00DC6A23"/>
    <w:rsid w:val="00DD1F47"/>
    <w:rsid w:val="00DD515A"/>
    <w:rsid w:val="00DD572B"/>
    <w:rsid w:val="00DD7DD8"/>
    <w:rsid w:val="00DF0436"/>
    <w:rsid w:val="00DF7EDB"/>
    <w:rsid w:val="00E006C7"/>
    <w:rsid w:val="00E0299C"/>
    <w:rsid w:val="00E1304B"/>
    <w:rsid w:val="00E13B6B"/>
    <w:rsid w:val="00E207A5"/>
    <w:rsid w:val="00E20A46"/>
    <w:rsid w:val="00E709F1"/>
    <w:rsid w:val="00E94E87"/>
    <w:rsid w:val="00EA1164"/>
    <w:rsid w:val="00EB6276"/>
    <w:rsid w:val="00EC3B2D"/>
    <w:rsid w:val="00ED630C"/>
    <w:rsid w:val="00EF0FBB"/>
    <w:rsid w:val="00F11643"/>
    <w:rsid w:val="00F16942"/>
    <w:rsid w:val="00F25715"/>
    <w:rsid w:val="00F27EA3"/>
    <w:rsid w:val="00F34612"/>
    <w:rsid w:val="00F53A29"/>
    <w:rsid w:val="00F6597B"/>
    <w:rsid w:val="00F744AC"/>
    <w:rsid w:val="00F76128"/>
    <w:rsid w:val="00F85761"/>
    <w:rsid w:val="00F9681C"/>
    <w:rsid w:val="00FA1E96"/>
    <w:rsid w:val="00FA658B"/>
    <w:rsid w:val="00FB5819"/>
    <w:rsid w:val="00FC0C21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uiPriority w:val="99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uiPriority w:val="99"/>
    <w:rsid w:val="00BF52AD"/>
    <w:pPr>
      <w:shd w:val="clear" w:color="auto" w:fill="FFFFFF"/>
      <w:spacing w:before="600" w:after="720" w:line="240" w:lineRule="atLeast"/>
      <w:ind w:hanging="54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B06101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5370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18</cp:revision>
  <cp:lastPrinted>2020-03-17T00:45:00Z</cp:lastPrinted>
  <dcterms:created xsi:type="dcterms:W3CDTF">2020-03-12T01:05:00Z</dcterms:created>
  <dcterms:modified xsi:type="dcterms:W3CDTF">2020-03-23T01:18:00Z</dcterms:modified>
</cp:coreProperties>
</file>