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60F8">
        <w:rPr>
          <w:b/>
          <w:sz w:val="28"/>
          <w:szCs w:val="28"/>
        </w:rPr>
        <w:t xml:space="preserve"> 15 </w:t>
      </w:r>
      <w:r>
        <w:rPr>
          <w:b/>
          <w:sz w:val="28"/>
          <w:szCs w:val="28"/>
        </w:rPr>
        <w:t xml:space="preserve">» </w:t>
      </w:r>
      <w:r w:rsidR="00103497">
        <w:rPr>
          <w:b/>
          <w:sz w:val="28"/>
          <w:szCs w:val="28"/>
        </w:rPr>
        <w:t>ноября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A360F8">
        <w:rPr>
          <w:b/>
          <w:sz w:val="28"/>
          <w:szCs w:val="28"/>
        </w:rPr>
        <w:t>219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28.12.2016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 xml:space="preserve">№161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 w:rsidR="00C85DF8">
        <w:rPr>
          <w:sz w:val="26"/>
          <w:szCs w:val="26"/>
          <w:effect w:val="sparkle"/>
        </w:rPr>
        <w:t>1 </w:t>
      </w:r>
      <w:r w:rsidR="0005409C">
        <w:rPr>
          <w:sz w:val="26"/>
          <w:szCs w:val="26"/>
          <w:effect w:val="sparkle"/>
        </w:rPr>
        <w:t>1</w:t>
      </w:r>
      <w:r w:rsidR="00ED2AE5">
        <w:rPr>
          <w:sz w:val="26"/>
          <w:szCs w:val="26"/>
          <w:effect w:val="sparkle"/>
        </w:rPr>
        <w:t>1</w:t>
      </w:r>
      <w:r w:rsidR="000901A8">
        <w:rPr>
          <w:sz w:val="26"/>
          <w:szCs w:val="26"/>
          <w:effect w:val="sparkle"/>
        </w:rPr>
        <w:t>8 696,5</w:t>
      </w:r>
      <w:r w:rsidR="00C85DF8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тыс.руб., по доходам в сумме </w:t>
      </w:r>
      <w:r w:rsidR="00FA7D7F">
        <w:rPr>
          <w:sz w:val="26"/>
          <w:szCs w:val="26"/>
          <w:effect w:val="sparkle"/>
        </w:rPr>
        <w:t>1 0</w:t>
      </w:r>
      <w:r w:rsidR="00ED2AE5">
        <w:rPr>
          <w:sz w:val="26"/>
          <w:szCs w:val="26"/>
          <w:effect w:val="sparkle"/>
        </w:rPr>
        <w:t>9</w:t>
      </w:r>
      <w:r w:rsidR="000901A8">
        <w:rPr>
          <w:sz w:val="26"/>
          <w:szCs w:val="26"/>
          <w:effect w:val="sparkle"/>
        </w:rPr>
        <w:t>8 938,5</w:t>
      </w:r>
      <w:r w:rsidRPr="00CF4E9A">
        <w:rPr>
          <w:sz w:val="26"/>
          <w:szCs w:val="26"/>
        </w:rPr>
        <w:t>тыс.руб.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 w:rsidR="00D5692A">
        <w:rPr>
          <w:sz w:val="26"/>
          <w:szCs w:val="26"/>
          <w:effect w:val="sparkle"/>
        </w:rPr>
        <w:t>19</w:t>
      </w:r>
      <w:r w:rsidR="00ED2AE5">
        <w:rPr>
          <w:sz w:val="26"/>
          <w:szCs w:val="26"/>
          <w:effect w:val="sparkle"/>
        </w:rPr>
        <w:t> 758,0</w:t>
      </w:r>
      <w:r w:rsidR="00D5692A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2017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103497" w:rsidP="00B2359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</w:t>
      </w:r>
      <w:bookmarkStart w:id="0" w:name="_GoBack"/>
      <w:bookmarkEnd w:id="0"/>
      <w:r>
        <w:rPr>
          <w:sz w:val="26"/>
          <w:szCs w:val="26"/>
        </w:rPr>
        <w:t>родского округа</w:t>
      </w:r>
      <w:r w:rsidR="000242D2">
        <w:rPr>
          <w:sz w:val="26"/>
          <w:szCs w:val="26"/>
        </w:rPr>
        <w:t xml:space="preserve">                           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42" w:rsidRDefault="003B3F42">
      <w:r>
        <w:separator/>
      </w:r>
    </w:p>
  </w:endnote>
  <w:endnote w:type="continuationSeparator" w:id="0">
    <w:p w:rsidR="003B3F42" w:rsidRDefault="003B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60F8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42" w:rsidRDefault="003B3F42">
      <w:r>
        <w:separator/>
      </w:r>
    </w:p>
  </w:footnote>
  <w:footnote w:type="continuationSeparator" w:id="0">
    <w:p w:rsidR="003B3F42" w:rsidRDefault="003B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2B8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578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4A5E-133A-4B46-8514-BDC16BB9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16</cp:revision>
  <cp:lastPrinted>2017-10-30T00:19:00Z</cp:lastPrinted>
  <dcterms:created xsi:type="dcterms:W3CDTF">2017-07-15T00:38:00Z</dcterms:created>
  <dcterms:modified xsi:type="dcterms:W3CDTF">2017-11-15T01:17:00Z</dcterms:modified>
</cp:coreProperties>
</file>