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text" w:horzAnchor="margin" w:tblpXSpec="right" w:tblpY="-172"/>
        <w:tblW w:w="9747" w:type="dxa"/>
        <w:tblLook w:val="01E0"/>
      </w:tblPr>
      <w:tblGrid>
        <w:gridCol w:w="9747"/>
      </w:tblGrid>
      <w:tr w:rsidR="00401D7B" w:rsidRPr="00E02F46" w:rsidTr="008C6E0E">
        <w:trPr>
          <w:trHeight w:val="819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401D7B" w:rsidRPr="00A96CB5" w:rsidRDefault="00401D7B" w:rsidP="008C6E0E">
            <w:pPr>
              <w:ind w:right="-5"/>
              <w:jc w:val="center"/>
              <w:rPr>
                <w:b/>
                <w:sz w:val="24"/>
                <w:szCs w:val="24"/>
              </w:rPr>
            </w:pPr>
          </w:p>
          <w:p w:rsidR="00401D7B" w:rsidRPr="00A96CB5" w:rsidRDefault="00401D7B" w:rsidP="008C6E0E">
            <w:pPr>
              <w:ind w:right="-5"/>
              <w:jc w:val="center"/>
              <w:rPr>
                <w:b/>
                <w:sz w:val="24"/>
                <w:szCs w:val="24"/>
              </w:rPr>
            </w:pPr>
            <w:r w:rsidRPr="00A96CB5">
              <w:rPr>
                <w:b/>
                <w:sz w:val="24"/>
                <w:szCs w:val="24"/>
              </w:rPr>
              <w:t>ПЕНСИОННЫЙ ФОНД РОССИЙСКОЙ  ФЕДЕРАЦИИ</w:t>
            </w:r>
          </w:p>
          <w:p w:rsidR="00401D7B" w:rsidRPr="00A96CB5" w:rsidRDefault="00401D7B" w:rsidP="008C6E0E">
            <w:pPr>
              <w:ind w:right="-5"/>
              <w:jc w:val="both"/>
              <w:rPr>
                <w:sz w:val="24"/>
                <w:szCs w:val="24"/>
              </w:rPr>
            </w:pPr>
          </w:p>
          <w:tbl>
            <w:tblPr>
              <w:tblW w:w="94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468"/>
            </w:tblGrid>
            <w:tr w:rsidR="00401D7B" w:rsidRPr="00A96CB5" w:rsidTr="008C6E0E">
              <w:trPr>
                <w:trHeight w:val="819"/>
              </w:trPr>
              <w:tc>
                <w:tcPr>
                  <w:tcW w:w="94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1D7B" w:rsidRPr="00A96CB5" w:rsidRDefault="00401D7B" w:rsidP="009267F5">
                  <w:pPr>
                    <w:framePr w:hSpace="180" w:wrap="around" w:vAnchor="text" w:hAnchor="margin" w:xAlign="right" w:y="-172"/>
                    <w:ind w:right="-5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A96CB5"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  <w:t>ГОСУДАРСТВЕННОЕ УЧРЕЖДЕНИЕ – УПРАВЛЕНИЕ ПЕНСИОННОГО ФОНДА</w:t>
                  </w:r>
                </w:p>
                <w:p w:rsidR="00401D7B" w:rsidRPr="00A96CB5" w:rsidRDefault="00401D7B" w:rsidP="009267F5">
                  <w:pPr>
                    <w:framePr w:hSpace="180" w:wrap="around" w:vAnchor="text" w:hAnchor="margin" w:xAlign="right" w:y="-172"/>
                    <w:ind w:right="-5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A96CB5"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  <w:t>РОССИЙСКОЙ ФЕДЕРАЦИИ ЯГОДНИНСКОГО РАЙОНА  МАГАДАНСКОЙ ОБЛАСТИ</w:t>
                  </w:r>
                </w:p>
                <w:p w:rsidR="00401D7B" w:rsidRPr="00A96CB5" w:rsidRDefault="00401D7B" w:rsidP="009267F5">
                  <w:pPr>
                    <w:framePr w:hSpace="180" w:wrap="around" w:vAnchor="text" w:hAnchor="margin" w:xAlign="right" w:y="-172"/>
                    <w:ind w:right="-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6CB5">
                    <w:rPr>
                      <w:rFonts w:ascii="Times New Roman" w:eastAsia="Times New Roman" w:hAnsi="Times New Roman" w:cs="Times New Roman"/>
                      <w:lang w:eastAsia="ru-RU"/>
                    </w:rPr>
                    <w:t>________________________________________________________________</w:t>
                  </w:r>
                </w:p>
              </w:tc>
            </w:tr>
          </w:tbl>
          <w:p w:rsidR="00401D7B" w:rsidRPr="00E02F46" w:rsidRDefault="00401D7B" w:rsidP="008C6E0E">
            <w:pPr>
              <w:ind w:right="-5"/>
              <w:jc w:val="center"/>
            </w:pPr>
          </w:p>
        </w:tc>
      </w:tr>
    </w:tbl>
    <w:p w:rsidR="003322B2" w:rsidRPr="00D96AB4" w:rsidRDefault="00401D7B" w:rsidP="003322B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96CB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213360</wp:posOffset>
            </wp:positionH>
            <wp:positionV relativeFrom="paragraph">
              <wp:posOffset>-490855</wp:posOffset>
            </wp:positionV>
            <wp:extent cx="876300" cy="895350"/>
            <wp:effectExtent l="0" t="0" r="0" b="0"/>
            <wp:wrapNone/>
            <wp:docPr id="2" name="Рисунок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sz w:val="24"/>
          <w:szCs w:val="24"/>
        </w:rPr>
        <w:t>09</w:t>
      </w:r>
      <w:bookmarkStart w:id="0" w:name="_GoBack"/>
      <w:bookmarkEnd w:id="0"/>
      <w:r w:rsidR="003322B2">
        <w:rPr>
          <w:rFonts w:ascii="Times New Roman" w:hAnsi="Times New Roman" w:cs="Times New Roman"/>
          <w:b/>
          <w:i/>
          <w:sz w:val="24"/>
          <w:szCs w:val="24"/>
        </w:rPr>
        <w:t>.10</w:t>
      </w:r>
      <w:r w:rsidR="003322B2" w:rsidRPr="00D96AB4">
        <w:rPr>
          <w:rFonts w:ascii="Times New Roman" w:hAnsi="Times New Roman" w:cs="Times New Roman"/>
          <w:b/>
          <w:i/>
          <w:sz w:val="24"/>
          <w:szCs w:val="24"/>
        </w:rPr>
        <w:t>.2017</w:t>
      </w:r>
    </w:p>
    <w:p w:rsidR="003322B2" w:rsidRDefault="009C134B" w:rsidP="009C13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МСК на военную ипотеку</w:t>
      </w:r>
    </w:p>
    <w:p w:rsidR="009C134B" w:rsidRPr="009C134B" w:rsidRDefault="009C134B" w:rsidP="009C13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22B2" w:rsidRPr="00F54388" w:rsidRDefault="003322B2" w:rsidP="003322B2">
      <w:pPr>
        <w:pStyle w:val="a3"/>
        <w:spacing w:before="0" w:beforeAutospacing="0" w:after="0" w:afterAutospacing="0" w:line="300" w:lineRule="atLeast"/>
        <w:ind w:firstLine="567"/>
        <w:jc w:val="both"/>
        <w:textAlignment w:val="baseline"/>
        <w:rPr>
          <w:color w:val="000000"/>
        </w:rPr>
      </w:pPr>
      <w:r>
        <w:rPr>
          <w:rFonts w:ascii="Tms Rmn" w:hAnsi="Tms Rmn" w:cs="Tms Rmn"/>
          <w:color w:val="000000"/>
        </w:rPr>
        <w:t xml:space="preserve">В мае этого года правительство издало постановление, согласно которому материнский капитал можно использовать на военную ипотеку. В </w:t>
      </w:r>
      <w:proofErr w:type="spellStart"/>
      <w:r>
        <w:rPr>
          <w:rFonts w:ascii="Tms Rmn" w:hAnsi="Tms Rmn" w:cs="Tms Rmn"/>
          <w:color w:val="000000"/>
        </w:rPr>
        <w:t>кабмине</w:t>
      </w:r>
      <w:proofErr w:type="spellEnd"/>
      <w:r>
        <w:rPr>
          <w:rFonts w:ascii="Tms Rmn" w:hAnsi="Tms Rmn" w:cs="Tms Rmn"/>
          <w:color w:val="000000"/>
        </w:rPr>
        <w:t xml:space="preserve"> считают, что разрешение использовать средства </w:t>
      </w:r>
      <w:proofErr w:type="spellStart"/>
      <w:r>
        <w:rPr>
          <w:rFonts w:ascii="Tms Rmn" w:hAnsi="Tms Rmn" w:cs="Tms Rmn"/>
          <w:color w:val="000000"/>
        </w:rPr>
        <w:t>маткапитала</w:t>
      </w:r>
      <w:proofErr w:type="spellEnd"/>
      <w:r>
        <w:rPr>
          <w:rFonts w:ascii="Tms Rmn" w:hAnsi="Tms Rmn" w:cs="Tms Rmn"/>
          <w:color w:val="000000"/>
        </w:rPr>
        <w:t xml:space="preserve"> поможет военнослужащим улучшить жилищные условия, приобрести недвижимость большей площади, полностью или частично погасить ипотечный кредит, снизить или полностью исключить задолженность по кредиту по достижении 20 лет военной службы.</w:t>
      </w:r>
    </w:p>
    <w:p w:rsidR="003322B2" w:rsidRDefault="003322B2" w:rsidP="003322B2">
      <w:pPr>
        <w:pStyle w:val="a3"/>
        <w:spacing w:before="0" w:beforeAutospacing="0" w:after="0" w:afterAutospacing="0"/>
        <w:ind w:firstLine="567"/>
        <w:jc w:val="both"/>
        <w:textAlignment w:val="baseline"/>
        <w:rPr>
          <w:rFonts w:asciiTheme="minorHAnsi" w:hAnsiTheme="minorHAnsi" w:cs="Tms Rmn"/>
          <w:color w:val="000000"/>
        </w:rPr>
      </w:pPr>
      <w:r>
        <w:rPr>
          <w:rFonts w:ascii="Tms Rmn" w:hAnsi="Tms Rmn" w:cs="Tms Rmn"/>
          <w:color w:val="000000"/>
        </w:rPr>
        <w:t>Для военных разработали специальные условия. Если жилье приобретено по договору купли-продажи или в рамках долевого участия в строительстве, то средства могут быть использованы через шесть месяцев после перехода права собственности на имущество покупателю. После чего правоустанавливающие документы на жилье переоформляются с делением долей на детей и супруга военнослужащего.</w:t>
      </w:r>
    </w:p>
    <w:p w:rsidR="003322B2" w:rsidRDefault="003322B2" w:rsidP="003322B2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rFonts w:ascii="Tms Rmn" w:hAnsi="Tms Rmn" w:cs="Tms Rmn"/>
          <w:color w:val="000000"/>
        </w:rPr>
        <w:t xml:space="preserve">Раньше в правилах использования материнского капитала не говорилось о возможности его совмещения с военной ипотекой. Средства переводились, если в предоставленной военной ипотеке прописывалось разрешение об использовании сертификата. К тому же, участники не могли тратить материнский капитал при покупке жилья, поскольку в соответствии с законом «О </w:t>
      </w:r>
      <w:proofErr w:type="spellStart"/>
      <w:r>
        <w:rPr>
          <w:rFonts w:ascii="Tms Rmn" w:hAnsi="Tms Rmn" w:cs="Tms Rmn"/>
          <w:color w:val="000000"/>
        </w:rPr>
        <w:t>накопительно-ипотечной</w:t>
      </w:r>
      <w:proofErr w:type="spellEnd"/>
      <w:r>
        <w:rPr>
          <w:rFonts w:ascii="Tms Rmn" w:hAnsi="Tms Rmn" w:cs="Tms Rmn"/>
          <w:color w:val="000000"/>
        </w:rPr>
        <w:t xml:space="preserve"> системе жилищного обеспечения военнослужащих» купленная по военной ипотеке квартира оформлялась в собственность только военного, а чтобы использовать сертификат жилье должно получить статус общей долевой собственности. Теперь этот нюанс в законе</w:t>
      </w:r>
      <w:r w:rsidR="009267F5">
        <w:rPr>
          <w:rFonts w:asciiTheme="minorHAnsi" w:hAnsiTheme="minorHAnsi" w:cs="Tms Rmn"/>
          <w:color w:val="000000"/>
        </w:rPr>
        <w:t xml:space="preserve"> </w:t>
      </w:r>
      <w:r w:rsidR="00021CFB" w:rsidRPr="00C84349">
        <w:rPr>
          <w:color w:val="000000"/>
        </w:rPr>
        <w:t>урегулировали</w:t>
      </w:r>
      <w:r w:rsidRPr="00C84349">
        <w:rPr>
          <w:color w:val="000000"/>
        </w:rPr>
        <w:t>.</w:t>
      </w:r>
    </w:p>
    <w:p w:rsidR="009267F5" w:rsidRPr="00C84349" w:rsidRDefault="009267F5" w:rsidP="003322B2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</w:p>
    <w:p w:rsidR="003322B2" w:rsidRDefault="003322B2" w:rsidP="003322B2">
      <w:pPr>
        <w:jc w:val="center"/>
        <w:rPr>
          <w:rFonts w:ascii="Times New Roman" w:hAnsi="Times New Roman" w:cs="Times New Roman"/>
          <w:b/>
        </w:rPr>
      </w:pPr>
    </w:p>
    <w:p w:rsidR="00401D7B" w:rsidRPr="00E02F46" w:rsidRDefault="00401D7B" w:rsidP="00401D7B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02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Начальник управления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ПФР</w:t>
      </w:r>
      <w:r w:rsidR="00926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</w:t>
      </w:r>
      <w:r w:rsidRPr="00E02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М.С. </w:t>
      </w:r>
      <w:proofErr w:type="spellStart"/>
      <w:r w:rsidRPr="00E02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Цуканов</w:t>
      </w:r>
      <w:proofErr w:type="spellEnd"/>
    </w:p>
    <w:p w:rsidR="003322B2" w:rsidRDefault="003322B2" w:rsidP="003322B2"/>
    <w:p w:rsidR="003322B2" w:rsidRDefault="003322B2" w:rsidP="003322B2"/>
    <w:p w:rsidR="002876C1" w:rsidRDefault="002876C1"/>
    <w:sectPr w:rsidR="002876C1" w:rsidSect="00142E6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322B2"/>
    <w:rsid w:val="00007485"/>
    <w:rsid w:val="00021CFB"/>
    <w:rsid w:val="00164142"/>
    <w:rsid w:val="002876C1"/>
    <w:rsid w:val="003322B2"/>
    <w:rsid w:val="00374234"/>
    <w:rsid w:val="003F378C"/>
    <w:rsid w:val="00401D7B"/>
    <w:rsid w:val="0088702E"/>
    <w:rsid w:val="009267F5"/>
    <w:rsid w:val="009C134B"/>
    <w:rsid w:val="009D2BE5"/>
    <w:rsid w:val="00A5408D"/>
    <w:rsid w:val="00B00742"/>
    <w:rsid w:val="00B242BA"/>
    <w:rsid w:val="00C312D1"/>
    <w:rsid w:val="00C84349"/>
    <w:rsid w:val="00CA5BA5"/>
    <w:rsid w:val="00CE0B61"/>
    <w:rsid w:val="00DB5978"/>
    <w:rsid w:val="00F80918"/>
    <w:rsid w:val="00FC1F88"/>
    <w:rsid w:val="00FD0B9C"/>
    <w:rsid w:val="00FD1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22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322B2"/>
    <w:rPr>
      <w:color w:val="0000FF" w:themeColor="hyperlink"/>
      <w:u w:val="single"/>
    </w:rPr>
  </w:style>
  <w:style w:type="paragraph" w:customStyle="1" w:styleId="a5">
    <w:name w:val="Îñíîâíîé òåêñò"/>
    <w:basedOn w:val="a"/>
    <w:rsid w:val="003322B2"/>
    <w:pPr>
      <w:overflowPunct w:val="0"/>
      <w:autoSpaceDE w:val="0"/>
      <w:jc w:val="both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table" w:styleId="a6">
    <w:name w:val="Table Grid"/>
    <w:basedOn w:val="a1"/>
    <w:rsid w:val="00401D7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059-2203</dc:creator>
  <cp:lastModifiedBy>User</cp:lastModifiedBy>
  <cp:revision>9</cp:revision>
  <cp:lastPrinted>2017-10-09T01:23:00Z</cp:lastPrinted>
  <dcterms:created xsi:type="dcterms:W3CDTF">2017-10-03T23:00:00Z</dcterms:created>
  <dcterms:modified xsi:type="dcterms:W3CDTF">2017-10-09T06:01:00Z</dcterms:modified>
</cp:coreProperties>
</file>