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0D" w:rsidRPr="00374E14" w:rsidRDefault="0017160D" w:rsidP="0017160D">
      <w:pPr>
        <w:pBdr>
          <w:bottom w:val="single" w:sz="12" w:space="1" w:color="auto"/>
        </w:pBdr>
        <w:tabs>
          <w:tab w:val="left" w:pos="1985"/>
        </w:tabs>
        <w:spacing w:before="0"/>
        <w:ind w:firstLine="0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74E14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374E1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374E14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17160D" w:rsidRPr="00374E14" w:rsidRDefault="0017160D" w:rsidP="0017160D">
      <w:pPr>
        <w:spacing w:before="0"/>
        <w:ind w:firstLine="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374E14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тел. (8 41343) 2-35-29, факс (8 41343) 2-20-42,</w:t>
      </w:r>
      <w:r w:rsidRPr="00374E14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374E14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374E14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374E14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374E14">
          <w:rPr>
            <w:rFonts w:ascii="Times New Roman" w:hAnsi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17160D" w:rsidRPr="00374E14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60D" w:rsidRPr="00374E14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74E14">
        <w:rPr>
          <w:rFonts w:ascii="Times New Roman" w:eastAsia="Times New Roman" w:hAnsi="Times New Roman"/>
          <w:b/>
          <w:sz w:val="30"/>
          <w:szCs w:val="30"/>
          <w:lang w:eastAsia="ru-RU"/>
        </w:rPr>
        <w:t>АДМИНИСТРАЦИЯ ЯГОДНИНСКОГО ГОРОДСКОГО ОКРУГА</w:t>
      </w:r>
    </w:p>
    <w:p w:rsidR="0017160D" w:rsidRPr="00374E14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160D" w:rsidRPr="00374E14" w:rsidRDefault="0017160D" w:rsidP="0017160D">
      <w:pPr>
        <w:spacing w:before="0"/>
        <w:ind w:firstLine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74E14">
        <w:rPr>
          <w:rFonts w:ascii="Times New Roman" w:eastAsia="Times New Roman" w:hAnsi="Times New Roman"/>
          <w:b/>
          <w:sz w:val="30"/>
          <w:szCs w:val="30"/>
          <w:lang w:eastAsia="ru-RU"/>
        </w:rPr>
        <w:t>ПОСТАНОВЛЕНИЕ</w:t>
      </w:r>
    </w:p>
    <w:p w:rsidR="0017160D" w:rsidRPr="00374E14" w:rsidRDefault="0017160D" w:rsidP="0017160D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0D" w:rsidRPr="00374E14" w:rsidRDefault="0017160D" w:rsidP="0017160D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B3F3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7B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3F34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</w:p>
    <w:p w:rsidR="0017160D" w:rsidRPr="00374E14" w:rsidRDefault="0017160D" w:rsidP="0017160D">
      <w:pPr>
        <w:spacing w:before="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60D" w:rsidRPr="00374E14" w:rsidRDefault="00E428D3" w:rsidP="00E428D3">
      <w:pPr>
        <w:spacing w:before="0"/>
        <w:ind w:right="45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ведения реестра источников доходов бюдж</w:t>
      </w:r>
      <w:r w:rsidR="00F065B1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«Ягоднинский городской округ»</w:t>
      </w:r>
    </w:p>
    <w:p w:rsidR="0017160D" w:rsidRPr="00374E14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60D" w:rsidRPr="00374E14" w:rsidRDefault="00411198" w:rsidP="00374E14">
      <w:pPr>
        <w:widowControl w:val="0"/>
        <w:autoSpaceDE w:val="0"/>
        <w:autoSpaceDN w:val="0"/>
        <w:spacing w:before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E1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374E1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пунктов 7</w:t>
        </w:r>
      </w:hyperlink>
      <w:r w:rsidRPr="00374E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74E1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9 статьи 47.1</w:t>
        </w:r>
      </w:hyperlink>
      <w:r w:rsidRPr="00374E1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374E1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постановления</w:t>
        </w:r>
      </w:hyperlink>
      <w:r w:rsidRPr="00374E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31.08.2016 г. № 868 «О порядке формирования и ведения перечня источников доходов Российской Федерации», руководствуясь Федеральным </w:t>
      </w:r>
      <w:hyperlink r:id="rId9" w:history="1">
        <w:r w:rsidRPr="00374E1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Pr="00374E14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10" w:history="1">
        <w:r w:rsidRPr="00374E1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постановлением</w:t>
        </w:r>
      </w:hyperlink>
      <w:r w:rsidRPr="00374E14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13.09.2017 г. № 819-пп «Об утверждении Порядка формирования иведения</w:t>
      </w:r>
      <w:proofErr w:type="gramEnd"/>
      <w:r w:rsidRPr="00374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E14">
        <w:rPr>
          <w:rFonts w:ascii="Times New Roman" w:hAnsi="Times New Roman" w:cs="Times New Roman"/>
          <w:sz w:val="28"/>
          <w:szCs w:val="28"/>
        </w:rPr>
        <w:t xml:space="preserve">реестра источников доходов областного бюджета и реестра источников бюджета Территориального фонда обязательного медицинского страхования Магаданской области, а также Порядка представления в министерство финансов Магаданской области реестров источников доходов бюджетов муниципальных образований, входящих в состав Магаданской области, и реестра источников доходов бюджета Территориального фонда обязательного медицинского страхования Магаданской области», </w:t>
      </w:r>
      <w:hyperlink r:id="rId11" w:history="1">
        <w:r w:rsidRPr="00374E14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 w:rsidRPr="00374E1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округ»</w:t>
      </w:r>
      <w:r w:rsidR="0017160D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</w:t>
      </w:r>
      <w:proofErr w:type="gramEnd"/>
      <w:r w:rsidR="0017160D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 в соответствие с действующим законодательством, администрация</w:t>
      </w:r>
      <w:r w:rsidR="00167769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городского округа</w:t>
      </w:r>
    </w:p>
    <w:p w:rsidR="0017160D" w:rsidRPr="00374E14" w:rsidRDefault="0017160D" w:rsidP="00374E14">
      <w:pPr>
        <w:spacing w:before="240" w:after="240" w:line="276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167769" w:rsidRPr="00374E14" w:rsidRDefault="00411198" w:rsidP="00374E14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4" w:history="1">
        <w:r w:rsidRPr="00374E14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Порядок</w:t>
        </w:r>
      </w:hyperlink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реестра источников доходов бюджета муниципального образования </w:t>
      </w:r>
      <w:r w:rsidR="00167769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«Ягоднинский городской округ» согласно приложению к настоящему постановлению.</w:t>
      </w:r>
    </w:p>
    <w:p w:rsidR="00F065B1" w:rsidRPr="00374E14" w:rsidRDefault="00F065B1" w:rsidP="00374E14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реестра источников доходов бюджета муниципального образования «Ягоднинский городской округ»:</w:t>
      </w:r>
    </w:p>
    <w:p w:rsidR="00F065B1" w:rsidRPr="00374E14" w:rsidRDefault="00F065B1" w:rsidP="00374E14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части информации, предусмотренной подпунктами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Порядка, - вступают в силу с 1 января 2021 г</w:t>
      </w:r>
      <w:r w:rsidR="000A4BCA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применяются при составлении проекта бюджета, начиная с бюджета на 2022 год и на плановый период 2023 и 2024 годов;</w:t>
      </w:r>
    </w:p>
    <w:p w:rsidR="00F065B1" w:rsidRPr="00374E14" w:rsidRDefault="00F065B1" w:rsidP="00374E14">
      <w:pPr>
        <w:pStyle w:val="a3"/>
        <w:numPr>
          <w:ilvl w:val="0"/>
          <w:numId w:val="23"/>
        </w:numPr>
        <w:tabs>
          <w:tab w:val="left" w:pos="0"/>
          <w:tab w:val="left" w:pos="1134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использования перечня источников доходов Российской Федерации в соответствии с пунктом 12 Порядка, - вступают в силу с 1 января 2022 г</w:t>
      </w:r>
      <w:r w:rsidR="007D4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bookmarkStart w:id="0" w:name="_GoBack"/>
      <w:bookmarkEnd w:id="0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применяются при составлении проекта бюджета, начиная с бюджета на 2023 год и на плановый период 2024 и 2025 годов.</w:t>
      </w:r>
    </w:p>
    <w:p w:rsidR="0017160D" w:rsidRPr="00374E14" w:rsidRDefault="0017160D" w:rsidP="00374E14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силупостановление администрации Ягоднинского </w:t>
      </w:r>
      <w:r w:rsidR="004D4932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19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02ноя</w:t>
      </w:r>
      <w:r w:rsidR="004D4932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41119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1119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913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119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ведения реестра источников доходов бюджета муниципального образования </w:t>
      </w:r>
      <w:r w:rsidR="004D4932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«Ягоднинский городской округ»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5B1" w:rsidRPr="00707F3B" w:rsidRDefault="0017160D" w:rsidP="00374E14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</w:t>
      </w:r>
      <w:r w:rsidRPr="00707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hyperlink r:id="rId12" w:history="1">
        <w:r w:rsidRPr="00707F3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http</w:t>
        </w:r>
        <w:r w:rsidRPr="00707F3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eastAsia="ru-RU"/>
          </w:rPr>
          <w:t>://</w:t>
        </w:r>
        <w:proofErr w:type="spellStart"/>
        <w:r w:rsidRPr="00707F3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yagodnoeadm</w:t>
        </w:r>
        <w:proofErr w:type="spellEnd"/>
        <w:r w:rsidRPr="00707F3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Pr="00707F3B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F065B1" w:rsidRPr="00707F3B">
        <w:rPr>
          <w:rFonts w:ascii="Times New Roman" w:eastAsia="Times New Roman" w:hAnsi="Times New Roman" w:cs="Times New Roman"/>
          <w:bCs/>
          <w:color w:val="0000FF" w:themeColor="hyperlink"/>
          <w:sz w:val="28"/>
          <w:szCs w:val="28"/>
          <w:lang w:eastAsia="ru-RU"/>
        </w:rPr>
        <w:t>.</w:t>
      </w:r>
    </w:p>
    <w:p w:rsidR="0017160D" w:rsidRPr="00374E14" w:rsidRDefault="0017160D" w:rsidP="00374E14">
      <w:pPr>
        <w:pStyle w:val="a3"/>
        <w:numPr>
          <w:ilvl w:val="0"/>
          <w:numId w:val="9"/>
        </w:numPr>
        <w:tabs>
          <w:tab w:val="left" w:pos="1134"/>
          <w:tab w:val="left" w:pos="1276"/>
        </w:tabs>
        <w:spacing w:before="0" w:line="276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</w:t>
      </w:r>
      <w:r w:rsidR="004D4932"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руководителя Комитета по финансам администрации Ягоднинского городского округа Мирошниченко А.В.</w:t>
      </w:r>
    </w:p>
    <w:p w:rsidR="0017160D" w:rsidRPr="00374E14" w:rsidRDefault="0017160D" w:rsidP="00374E14">
      <w:pPr>
        <w:spacing w:before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60D" w:rsidRDefault="0017160D" w:rsidP="00374E14">
      <w:pPr>
        <w:spacing w:before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4E14" w:rsidRPr="00374E14" w:rsidRDefault="00374E14" w:rsidP="00374E14">
      <w:pPr>
        <w:spacing w:before="0" w:line="276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60D" w:rsidRPr="00374E14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Ягоднинского </w:t>
      </w:r>
    </w:p>
    <w:p w:rsidR="0017160D" w:rsidRPr="00374E14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                                                      </w:t>
      </w: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Н.Б. Олейник</w:t>
      </w:r>
    </w:p>
    <w:p w:rsidR="0017160D" w:rsidRPr="00374E14" w:rsidRDefault="0017160D" w:rsidP="0017160D">
      <w:pPr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60D" w:rsidRPr="00374E14" w:rsidRDefault="0017160D" w:rsidP="0017160D">
      <w:pPr>
        <w:spacing w:before="0"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17160D" w:rsidRPr="00374E14" w:rsidSect="00450AE1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17160D" w:rsidRPr="00374E14" w:rsidRDefault="00F065B1" w:rsidP="00B911F4">
      <w:pPr>
        <w:spacing w:before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E1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7160D" w:rsidRPr="00374E14" w:rsidRDefault="0017160D" w:rsidP="00B911F4">
      <w:pPr>
        <w:spacing w:before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E14">
        <w:rPr>
          <w:rFonts w:ascii="Times New Roman" w:hAnsi="Times New Roman" w:cs="Times New Roman"/>
          <w:sz w:val="24"/>
          <w:szCs w:val="24"/>
        </w:rPr>
        <w:t>п</w:t>
      </w:r>
      <w:r w:rsidR="00B911F4" w:rsidRPr="00374E14">
        <w:rPr>
          <w:rFonts w:ascii="Times New Roman" w:hAnsi="Times New Roman" w:cs="Times New Roman"/>
          <w:sz w:val="24"/>
          <w:szCs w:val="24"/>
        </w:rPr>
        <w:t>остановлени</w:t>
      </w:r>
      <w:r w:rsidR="00F065B1" w:rsidRPr="00374E14">
        <w:rPr>
          <w:rFonts w:ascii="Times New Roman" w:hAnsi="Times New Roman" w:cs="Times New Roman"/>
          <w:sz w:val="24"/>
          <w:szCs w:val="24"/>
        </w:rPr>
        <w:t>ем</w:t>
      </w:r>
      <w:r w:rsidRPr="00374E14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</w:p>
    <w:p w:rsidR="0017160D" w:rsidRPr="00374E14" w:rsidRDefault="0017160D" w:rsidP="00B911F4">
      <w:pPr>
        <w:spacing w:before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E14">
        <w:rPr>
          <w:rFonts w:ascii="Times New Roman" w:hAnsi="Times New Roman" w:cs="Times New Roman"/>
          <w:sz w:val="24"/>
          <w:szCs w:val="24"/>
        </w:rPr>
        <w:t>от «</w:t>
      </w:r>
      <w:r w:rsidR="007B3F34">
        <w:rPr>
          <w:rFonts w:ascii="Times New Roman" w:hAnsi="Times New Roman" w:cs="Times New Roman"/>
          <w:sz w:val="24"/>
          <w:szCs w:val="24"/>
        </w:rPr>
        <w:t>12</w:t>
      </w:r>
      <w:r w:rsidRPr="00374E14">
        <w:rPr>
          <w:rFonts w:ascii="Times New Roman" w:hAnsi="Times New Roman" w:cs="Times New Roman"/>
          <w:sz w:val="24"/>
          <w:szCs w:val="24"/>
        </w:rPr>
        <w:t>»</w:t>
      </w:r>
      <w:r w:rsidR="007B3F34">
        <w:rPr>
          <w:rFonts w:ascii="Times New Roman" w:hAnsi="Times New Roman" w:cs="Times New Roman"/>
          <w:sz w:val="24"/>
          <w:szCs w:val="24"/>
        </w:rPr>
        <w:t xml:space="preserve"> мая </w:t>
      </w:r>
      <w:r w:rsidRPr="00374E14">
        <w:rPr>
          <w:rFonts w:ascii="Times New Roman" w:hAnsi="Times New Roman" w:cs="Times New Roman"/>
          <w:sz w:val="24"/>
          <w:szCs w:val="24"/>
        </w:rPr>
        <w:t>2021 г. №</w:t>
      </w:r>
      <w:r w:rsidR="007B3F34"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17160D" w:rsidRPr="00374E14" w:rsidRDefault="0017160D" w:rsidP="0017160D">
      <w:pPr>
        <w:pStyle w:val="ConsPlusNormal"/>
        <w:spacing w:line="276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D0C34" w:rsidRPr="00374E14" w:rsidRDefault="008D0C34" w:rsidP="00A242A4">
      <w:pPr>
        <w:widowControl w:val="0"/>
        <w:autoSpaceDE w:val="0"/>
        <w:autoSpaceDN w:val="0"/>
        <w:spacing w:before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P30"/>
      <w:bookmarkEnd w:id="1"/>
      <w:r w:rsidRPr="00374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  <w:r w:rsidR="00F065B1" w:rsidRPr="00374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формирования и ведения реестра источников доходов бюджета </w:t>
      </w:r>
      <w:r w:rsidRPr="00374E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«Ягоднинский городской округ»</w:t>
      </w:r>
    </w:p>
    <w:p w:rsidR="008D0C34" w:rsidRPr="00374E14" w:rsidRDefault="008D0C34" w:rsidP="008D0C34">
      <w:pPr>
        <w:widowControl w:val="0"/>
        <w:autoSpaceDE w:val="0"/>
        <w:autoSpaceDN w:val="0"/>
        <w:spacing w:before="0" w:line="276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1" w:rsidRPr="00374E14" w:rsidRDefault="008D0C34" w:rsidP="00B3500C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F065B1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ведения реестра источников доходов бюджета </w:t>
      </w:r>
      <w:r w:rsidR="00705545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="00705545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</w:t>
      </w:r>
      <w:r w:rsidR="00F065B1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требования к составу информации, порядку формирования и ведения реестра источников доходов бюджета муниципального образования </w:t>
      </w:r>
      <w:r w:rsidR="00B2108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«Ягоднинский городской округ» </w:t>
      </w:r>
      <w:r w:rsidR="00F065B1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 источников доходов бюджета</w:t>
      </w:r>
      <w:r w:rsidR="00B2108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F065B1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1088" w:rsidRPr="00374E14" w:rsidRDefault="00B21088" w:rsidP="00B21088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источников доходов бюджета округа представляет собой свод информации о доходах бюджета по источникам доходов бюджета муниципального образования «Ягоднинский городской округ» (далее - бюджета округа),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8D0C34" w:rsidRPr="00374E14" w:rsidRDefault="001D6394" w:rsidP="00B21088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2108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источников доходов бюджета округа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Собрания представителей Ягоднинского городского округа о бюджете муниципального образования «Ягоднинский городской округ» (далее - 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  <w:proofErr w:type="gramEnd"/>
    </w:p>
    <w:p w:rsidR="008D0C34" w:rsidRPr="00374E14" w:rsidRDefault="001D6394" w:rsidP="00B3500C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округа формируется и ведется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по финансам </w:t>
      </w:r>
      <w:r w:rsidR="00024E67" w:rsidRPr="0037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Ягоднинского городского округа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Комитет по финансам)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64130B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электронный бюджет Магаданской области»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источников доходов </w:t>
      </w:r>
      <w:r w:rsidR="00BC210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BC210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доходов </w:t>
      </w:r>
      <w:r w:rsidR="00BC210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участники процесса ведения реестра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обеспечивают предоставление сведений, необходимых для ведения реестра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настоящего Порядка.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и ведении реестра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информационной системе управления муниципальными финансами используются усиленные квалифицированные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электронные подписи лиц, уполномоченных действовать от имени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процесса ведения реестров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5 настоящего Порядка.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полноту и достоверность информации, а также своевременность ее включения в реестр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участники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ведения реестра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источника дохода бюджета включается следующая информация: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источника дохода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(коды) классификации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группы источников доходов бюджетов, вкоторую входит источник дохода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ее идентификационный код по перечню источников доходов Российской Федерации;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главных администраторах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прогноза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классификации доходов бюджета, соответствующему источнику дохода бюджета, сформированные в целях составления и утверждения решения о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372E8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прогноза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классификации доходов бюджета, соответствующему источнику дохода бюджета, принимающие значения прогнозируемого общего объема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о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прогноза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классификации доходов бюджета, соответствующему источнику дохода бюджета, принимающие значения прогнозируемого общего объема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о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решения о внесении изменений в решение о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уточненного прогноза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кассовых поступлений по коду классификации доходов бюджета, соответствующему источнику дохода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4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кассовых поступлений по коду классификации доходов бюджета, соответствующему источнику дохода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принимающие значения доходов бюджета в соответствии с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об исполнении бюджета.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формируется сводная информация по группам источников доходов бюджета по показателям прогнозов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этапах составления, утверждения и исполнения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подпунктах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формируется и изменяется на основе перечня источников доходов Российской Федерации.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рмация, указанная в подпунктах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ведется</w:t>
      </w:r>
      <w:proofErr w:type="gramEnd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прогнозов поступления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подпункте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формируется на основании соответствующих сведений реестра источников доходов Российской Федерации, формируемого в порядке, установленном Министерством финансов Российской Федерации.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финансам обеспечивает включение в реестр источников доходов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указанной в пунктах 8 настоящего Порядка, в следующие сроки: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указанной в подпунктах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-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указанной в подпунктах 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«ж»,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- не позднее пяти рабочих дней со дня принятия или внесения изменений в решение о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об исполнении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ормации, указанной в подпункте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- не позднее десятого рабочего дня каждого месяца года;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рмации, указанной в подпункте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- в сроки, установленные порядком составления проекта </w:t>
      </w:r>
      <w:r w:rsidR="0060771F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64130B" w:rsidRPr="00374E14" w:rsidRDefault="0064130B" w:rsidP="0060771F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ормации, указанной в подпункте «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- не позднее десятого рабочего дня каждого месяца года.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финансам в целях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рабочего дня со дня представления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участником процесса 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указанной в пункте 8 настоящего Порядка, обеспечивает в автоматизированном режиме проверкуналичия информации в соответствии</w:t>
      </w:r>
      <w:r w:rsidR="0070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8 настоящего Порядка.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положительного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образует реестровую запись источника дохода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Комитет по финансам присваивает уникальный номер.</w:t>
      </w:r>
    </w:p>
    <w:p w:rsidR="0064130B" w:rsidRPr="00374E14" w:rsidRDefault="0064130B" w:rsidP="00024E67">
      <w:pPr>
        <w:widowControl w:val="0"/>
        <w:tabs>
          <w:tab w:val="left" w:pos="1276"/>
        </w:tabs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участником процесса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измененной информации, указанной в пункте 8 настоящего Порядка, ранее образованные реестровые записи обновляются.</w:t>
      </w:r>
    </w:p>
    <w:p w:rsidR="0064130B" w:rsidRPr="00374E14" w:rsidRDefault="0064130B" w:rsidP="00024E67">
      <w:pPr>
        <w:widowControl w:val="0"/>
        <w:tabs>
          <w:tab w:val="left" w:pos="1276"/>
        </w:tabs>
        <w:autoSpaceDE w:val="0"/>
        <w:autoSpaceDN w:val="0"/>
        <w:spacing w:before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результата проверки, указанной в пункте 14 настоящего Порядка, информация, представленная участником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настоящего Порядка, не образует (не обновляет) реестровые записи. В указанном случае Комитет по финансам в течение не более одного рабочего дня со дня представления участником процесса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предусмотренного пунктом 15 настоящего Порядка протокола, участник </w:t>
      </w:r>
      <w:proofErr w:type="gramStart"/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ведения реестра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округа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0B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 Министерство финансов Магаданской области в порядке, установленном Правительством Магаданской области</w:t>
      </w:r>
      <w:r w:rsidR="00374E14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C34" w:rsidRPr="00374E14" w:rsidRDefault="0064130B" w:rsidP="0064130B">
      <w:pPr>
        <w:pStyle w:val="a3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before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составе документов и материалов, представляемых одновременно с проектом решения о </w:t>
      </w:r>
      <w:r w:rsidR="00024E67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округа </w:t>
      </w: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в </w:t>
      </w:r>
      <w:r w:rsidR="00FB4E83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  <w:r w:rsidR="00374E14"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8D0C34" w:rsidRPr="00374E14" w:rsidRDefault="008D0C34" w:rsidP="008D0C34">
      <w:pPr>
        <w:widowControl w:val="0"/>
        <w:autoSpaceDE w:val="0"/>
        <w:autoSpaceDN w:val="0"/>
        <w:spacing w:before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34" w:rsidRPr="00374E1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D0C34" w:rsidRPr="00374E1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8D0C34" w:rsidRPr="00374E14" w:rsidRDefault="008D0C3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</w:pPr>
    </w:p>
    <w:p w:rsidR="00A242A4" w:rsidRPr="00374E14" w:rsidRDefault="00A242A4" w:rsidP="008D0C34">
      <w:pPr>
        <w:widowControl w:val="0"/>
        <w:autoSpaceDE w:val="0"/>
        <w:autoSpaceDN w:val="0"/>
        <w:spacing w:before="0"/>
        <w:ind w:firstLine="540"/>
        <w:rPr>
          <w:rFonts w:ascii="Calibri" w:eastAsia="Times New Roman" w:hAnsi="Calibri" w:cs="Calibri"/>
          <w:szCs w:val="20"/>
          <w:lang w:eastAsia="ru-RU"/>
        </w:rPr>
        <w:sectPr w:rsidR="00A242A4" w:rsidRPr="00374E14" w:rsidSect="008D0C34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8D0C34" w:rsidRPr="00374E14" w:rsidRDefault="008D0C34" w:rsidP="008D0C34">
      <w:pPr>
        <w:widowControl w:val="0"/>
        <w:autoSpaceDE w:val="0"/>
        <w:autoSpaceDN w:val="0"/>
        <w:spacing w:before="0"/>
        <w:ind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D0C34" w:rsidRPr="00374E14" w:rsidRDefault="008D0C34" w:rsidP="008D0C34">
      <w:pPr>
        <w:widowControl w:val="0"/>
        <w:autoSpaceDE w:val="0"/>
        <w:autoSpaceDN w:val="0"/>
        <w:spacing w:before="0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374E14" w:rsidRPr="00374E14" w:rsidRDefault="00374E14" w:rsidP="00374E14">
      <w:pPr>
        <w:widowControl w:val="0"/>
        <w:autoSpaceDE w:val="0"/>
        <w:autoSpaceDN w:val="0"/>
        <w:spacing w:before="0"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и ведения реестра источников </w:t>
      </w:r>
    </w:p>
    <w:p w:rsidR="00374E14" w:rsidRPr="00374E14" w:rsidRDefault="00374E14" w:rsidP="00374E14">
      <w:pPr>
        <w:widowControl w:val="0"/>
        <w:autoSpaceDE w:val="0"/>
        <w:autoSpaceDN w:val="0"/>
        <w:spacing w:before="0"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муниципального образования </w:t>
      </w:r>
    </w:p>
    <w:p w:rsidR="008D0C34" w:rsidRPr="00374E14" w:rsidRDefault="00374E14" w:rsidP="00374E14">
      <w:pPr>
        <w:widowControl w:val="0"/>
        <w:autoSpaceDE w:val="0"/>
        <w:autoSpaceDN w:val="0"/>
        <w:spacing w:before="0"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14">
        <w:rPr>
          <w:rFonts w:ascii="Times New Roman" w:eastAsia="Times New Roman" w:hAnsi="Times New Roman" w:cs="Times New Roman"/>
          <w:sz w:val="24"/>
          <w:szCs w:val="24"/>
          <w:lang w:eastAsia="ru-RU"/>
        </w:rPr>
        <w:t>«Ягоднинский городской округ»</w:t>
      </w:r>
    </w:p>
    <w:p w:rsidR="00374E14" w:rsidRPr="00374E14" w:rsidRDefault="00374E14" w:rsidP="00374E14">
      <w:pPr>
        <w:widowControl w:val="0"/>
        <w:autoSpaceDE w:val="0"/>
        <w:autoSpaceDN w:val="0"/>
        <w:spacing w:before="0"/>
        <w:ind w:left="6237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E14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374E14" w:rsidRPr="00374E14" w:rsidRDefault="00374E14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6"/>
      <w:bookmarkEnd w:id="2"/>
    </w:p>
    <w:p w:rsidR="00374E14" w:rsidRPr="00374E14" w:rsidRDefault="00374E14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34" w:rsidRPr="00374E14" w:rsidRDefault="00374E14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374E14" w:rsidRPr="00374E14" w:rsidRDefault="00374E14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доходов муниципального образования </w:t>
      </w:r>
    </w:p>
    <w:p w:rsidR="008D0C34" w:rsidRPr="00374E14" w:rsidRDefault="00374E14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«Ягоднинский городской округ».</w:t>
      </w:r>
    </w:p>
    <w:p w:rsidR="008D0C34" w:rsidRPr="00374E14" w:rsidRDefault="008D0C34" w:rsidP="008D0C34">
      <w:pPr>
        <w:widowControl w:val="0"/>
        <w:autoSpaceDE w:val="0"/>
        <w:autoSpaceDN w:val="0"/>
        <w:spacing w:before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 год и плановый период _______ годов</w:t>
      </w:r>
    </w:p>
    <w:p w:rsidR="00863296" w:rsidRPr="00374E14" w:rsidRDefault="00863296" w:rsidP="00FB4E83">
      <w:pPr>
        <w:spacing w:before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74E14" w:rsidRPr="00374E14" w:rsidRDefault="00374E14" w:rsidP="00FB4E83">
      <w:pPr>
        <w:spacing w:before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954"/>
        <w:gridCol w:w="2112"/>
        <w:gridCol w:w="2107"/>
        <w:gridCol w:w="1973"/>
        <w:gridCol w:w="1968"/>
        <w:gridCol w:w="1834"/>
        <w:gridCol w:w="1848"/>
      </w:tblGrid>
      <w:tr w:rsidR="00374E14" w:rsidRPr="00374E14" w:rsidTr="00374E14">
        <w:tc>
          <w:tcPr>
            <w:tcW w:w="771" w:type="dxa"/>
            <w:vMerge w:val="restart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954" w:type="dxa"/>
            <w:vMerge w:val="restart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дохода бюджета</w:t>
            </w:r>
          </w:p>
        </w:tc>
        <w:tc>
          <w:tcPr>
            <w:tcW w:w="2112" w:type="dxa"/>
            <w:vMerge w:val="restart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дохода бюджета</w:t>
            </w:r>
          </w:p>
        </w:tc>
        <w:tc>
          <w:tcPr>
            <w:tcW w:w="2107" w:type="dxa"/>
            <w:vMerge w:val="restart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1973" w:type="dxa"/>
            <w:vMerge w:val="restart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5650" w:type="dxa"/>
            <w:gridSpan w:val="3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Показатели прогноза доходов бюджета, тыс. руб.</w:t>
            </w:r>
          </w:p>
        </w:tc>
      </w:tr>
      <w:tr w:rsidR="00374E14" w:rsidRPr="00374E14" w:rsidTr="00374E14">
        <w:tc>
          <w:tcPr>
            <w:tcW w:w="771" w:type="dxa"/>
            <w:vMerge/>
          </w:tcPr>
          <w:p w:rsidR="00374E14" w:rsidRPr="00374E14" w:rsidRDefault="00374E14" w:rsidP="007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374E14" w:rsidRPr="00374E14" w:rsidRDefault="00374E14" w:rsidP="007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74E14" w:rsidRPr="00374E14" w:rsidRDefault="00374E14" w:rsidP="007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374E14" w:rsidRPr="00374E14" w:rsidRDefault="00374E14" w:rsidP="007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374E14" w:rsidRPr="00374E14" w:rsidRDefault="00374E14" w:rsidP="00734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1834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на первый год планового периода</w:t>
            </w:r>
          </w:p>
        </w:tc>
        <w:tc>
          <w:tcPr>
            <w:tcW w:w="1848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на второй год планового периода</w:t>
            </w:r>
          </w:p>
        </w:tc>
      </w:tr>
      <w:tr w:rsidR="00374E14" w:rsidRPr="00374E14" w:rsidTr="00374E14">
        <w:tc>
          <w:tcPr>
            <w:tcW w:w="771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4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374E14" w:rsidRPr="00374E14" w:rsidRDefault="00374E14" w:rsidP="007347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E14" w:rsidRPr="00374E14" w:rsidTr="00374E14">
        <w:tc>
          <w:tcPr>
            <w:tcW w:w="771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14" w:rsidRPr="00374E14" w:rsidTr="00374E14">
        <w:tc>
          <w:tcPr>
            <w:tcW w:w="771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14" w:rsidRPr="00374E14" w:rsidTr="00374E14">
        <w:tc>
          <w:tcPr>
            <w:tcW w:w="771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74E14" w:rsidRPr="00374E14" w:rsidRDefault="00374E14" w:rsidP="00734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E14" w:rsidRPr="00B911F4" w:rsidRDefault="00374E14" w:rsidP="00FB4E83">
      <w:pPr>
        <w:spacing w:before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74E14" w:rsidRPr="00B911F4" w:rsidSect="00374E14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646"/>
    <w:multiLevelType w:val="hybridMultilevel"/>
    <w:tmpl w:val="CB701A0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96051D0"/>
    <w:multiLevelType w:val="hybridMultilevel"/>
    <w:tmpl w:val="A008BE14"/>
    <w:lvl w:ilvl="0" w:tplc="1484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A76AB"/>
    <w:multiLevelType w:val="hybridMultilevel"/>
    <w:tmpl w:val="AB5687F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CA00F28"/>
    <w:multiLevelType w:val="hybridMultilevel"/>
    <w:tmpl w:val="2B70DC20"/>
    <w:lvl w:ilvl="0" w:tplc="3836E46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A71448"/>
    <w:multiLevelType w:val="hybridMultilevel"/>
    <w:tmpl w:val="875A2C4C"/>
    <w:lvl w:ilvl="0" w:tplc="14846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055994"/>
    <w:multiLevelType w:val="hybridMultilevel"/>
    <w:tmpl w:val="BA609B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323956"/>
    <w:multiLevelType w:val="hybridMultilevel"/>
    <w:tmpl w:val="C1E6194A"/>
    <w:lvl w:ilvl="0" w:tplc="19AEA6C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532AA2"/>
    <w:multiLevelType w:val="hybridMultilevel"/>
    <w:tmpl w:val="9B42B19A"/>
    <w:lvl w:ilvl="0" w:tplc="148460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AB672E"/>
    <w:multiLevelType w:val="hybridMultilevel"/>
    <w:tmpl w:val="1E8C4722"/>
    <w:lvl w:ilvl="0" w:tplc="659A4784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9E7926"/>
    <w:multiLevelType w:val="hybridMultilevel"/>
    <w:tmpl w:val="D68AED5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424D5"/>
    <w:multiLevelType w:val="hybridMultilevel"/>
    <w:tmpl w:val="9BC6A926"/>
    <w:lvl w:ilvl="0" w:tplc="2C947CA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E5360E"/>
    <w:multiLevelType w:val="hybridMultilevel"/>
    <w:tmpl w:val="F7AAFB5E"/>
    <w:lvl w:ilvl="0" w:tplc="19AEA6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C66586"/>
    <w:multiLevelType w:val="hybridMultilevel"/>
    <w:tmpl w:val="1012E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5E3598"/>
    <w:multiLevelType w:val="hybridMultilevel"/>
    <w:tmpl w:val="757E0418"/>
    <w:lvl w:ilvl="0" w:tplc="56788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F738B6"/>
    <w:multiLevelType w:val="hybridMultilevel"/>
    <w:tmpl w:val="559CC4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FA98214E">
      <w:start w:val="1"/>
      <w:numFmt w:val="decimal"/>
      <w:lvlText w:val="%2)"/>
      <w:lvlJc w:val="left"/>
      <w:pPr>
        <w:ind w:left="26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501BAB"/>
    <w:multiLevelType w:val="hybridMultilevel"/>
    <w:tmpl w:val="36DE3434"/>
    <w:lvl w:ilvl="0" w:tplc="F0D80CD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C93B82"/>
    <w:multiLevelType w:val="hybridMultilevel"/>
    <w:tmpl w:val="5F6A03CC"/>
    <w:lvl w:ilvl="0" w:tplc="19AEA6C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30F1AEC"/>
    <w:multiLevelType w:val="hybridMultilevel"/>
    <w:tmpl w:val="1B9A3694"/>
    <w:lvl w:ilvl="0" w:tplc="14846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01735"/>
    <w:multiLevelType w:val="hybridMultilevel"/>
    <w:tmpl w:val="AA4485CE"/>
    <w:lvl w:ilvl="0" w:tplc="85C66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847655C"/>
    <w:multiLevelType w:val="hybridMultilevel"/>
    <w:tmpl w:val="8A42AAA8"/>
    <w:lvl w:ilvl="0" w:tplc="10889D3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D67756A"/>
    <w:multiLevelType w:val="hybridMultilevel"/>
    <w:tmpl w:val="4A1C78C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6C8F796B"/>
    <w:multiLevelType w:val="hybridMultilevel"/>
    <w:tmpl w:val="84286298"/>
    <w:lvl w:ilvl="0" w:tplc="04190011">
      <w:start w:val="1"/>
      <w:numFmt w:val="decimal"/>
      <w:lvlText w:val="%1)"/>
      <w:lvlJc w:val="left"/>
      <w:pPr>
        <w:ind w:left="6216" w:hanging="360"/>
      </w:pPr>
    </w:lvl>
    <w:lvl w:ilvl="1" w:tplc="04190019" w:tentative="1">
      <w:start w:val="1"/>
      <w:numFmt w:val="lowerLetter"/>
      <w:lvlText w:val="%2."/>
      <w:lvlJc w:val="left"/>
      <w:pPr>
        <w:ind w:left="6936" w:hanging="360"/>
      </w:pPr>
    </w:lvl>
    <w:lvl w:ilvl="2" w:tplc="0419001B" w:tentative="1">
      <w:start w:val="1"/>
      <w:numFmt w:val="lowerRoman"/>
      <w:lvlText w:val="%3."/>
      <w:lvlJc w:val="right"/>
      <w:pPr>
        <w:ind w:left="7656" w:hanging="180"/>
      </w:pPr>
    </w:lvl>
    <w:lvl w:ilvl="3" w:tplc="0419000F" w:tentative="1">
      <w:start w:val="1"/>
      <w:numFmt w:val="decimal"/>
      <w:lvlText w:val="%4."/>
      <w:lvlJc w:val="left"/>
      <w:pPr>
        <w:ind w:left="8376" w:hanging="360"/>
      </w:pPr>
    </w:lvl>
    <w:lvl w:ilvl="4" w:tplc="04190019" w:tentative="1">
      <w:start w:val="1"/>
      <w:numFmt w:val="lowerLetter"/>
      <w:lvlText w:val="%5."/>
      <w:lvlJc w:val="left"/>
      <w:pPr>
        <w:ind w:left="9096" w:hanging="360"/>
      </w:pPr>
    </w:lvl>
    <w:lvl w:ilvl="5" w:tplc="0419001B" w:tentative="1">
      <w:start w:val="1"/>
      <w:numFmt w:val="lowerRoman"/>
      <w:lvlText w:val="%6."/>
      <w:lvlJc w:val="right"/>
      <w:pPr>
        <w:ind w:left="9816" w:hanging="180"/>
      </w:pPr>
    </w:lvl>
    <w:lvl w:ilvl="6" w:tplc="0419000F" w:tentative="1">
      <w:start w:val="1"/>
      <w:numFmt w:val="decimal"/>
      <w:lvlText w:val="%7."/>
      <w:lvlJc w:val="left"/>
      <w:pPr>
        <w:ind w:left="10536" w:hanging="360"/>
      </w:pPr>
    </w:lvl>
    <w:lvl w:ilvl="7" w:tplc="04190019" w:tentative="1">
      <w:start w:val="1"/>
      <w:numFmt w:val="lowerLetter"/>
      <w:lvlText w:val="%8."/>
      <w:lvlJc w:val="left"/>
      <w:pPr>
        <w:ind w:left="11256" w:hanging="360"/>
      </w:pPr>
    </w:lvl>
    <w:lvl w:ilvl="8" w:tplc="0419001B" w:tentative="1">
      <w:start w:val="1"/>
      <w:numFmt w:val="lowerRoman"/>
      <w:lvlText w:val="%9."/>
      <w:lvlJc w:val="right"/>
      <w:pPr>
        <w:ind w:left="11976" w:hanging="180"/>
      </w:pPr>
    </w:lvl>
  </w:abstractNum>
  <w:abstractNum w:abstractNumId="22">
    <w:nsid w:val="6F8B730E"/>
    <w:multiLevelType w:val="hybridMultilevel"/>
    <w:tmpl w:val="52A6F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F27269"/>
    <w:multiLevelType w:val="hybridMultilevel"/>
    <w:tmpl w:val="CB3652E2"/>
    <w:lvl w:ilvl="0" w:tplc="14846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B687F"/>
    <w:multiLevelType w:val="hybridMultilevel"/>
    <w:tmpl w:val="3822BBD4"/>
    <w:lvl w:ilvl="0" w:tplc="14403C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19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5"/>
  </w:num>
  <w:num w:numId="12">
    <w:abstractNumId w:val="10"/>
  </w:num>
  <w:num w:numId="13">
    <w:abstractNumId w:val="21"/>
  </w:num>
  <w:num w:numId="14">
    <w:abstractNumId w:val="18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23"/>
  </w:num>
  <w:num w:numId="23">
    <w:abstractNumId w:val="7"/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7160D"/>
    <w:rsid w:val="00004818"/>
    <w:rsid w:val="00024E67"/>
    <w:rsid w:val="000A4BCA"/>
    <w:rsid w:val="000C0783"/>
    <w:rsid w:val="00167769"/>
    <w:rsid w:val="0017160D"/>
    <w:rsid w:val="00181A9B"/>
    <w:rsid w:val="001D6394"/>
    <w:rsid w:val="0030121E"/>
    <w:rsid w:val="00374E14"/>
    <w:rsid w:val="003E4564"/>
    <w:rsid w:val="00411198"/>
    <w:rsid w:val="00450AE1"/>
    <w:rsid w:val="004965E2"/>
    <w:rsid w:val="004D4932"/>
    <w:rsid w:val="00567EF7"/>
    <w:rsid w:val="00576AA8"/>
    <w:rsid w:val="005D5A82"/>
    <w:rsid w:val="0060771F"/>
    <w:rsid w:val="00626946"/>
    <w:rsid w:val="0064130B"/>
    <w:rsid w:val="00705545"/>
    <w:rsid w:val="00707F3B"/>
    <w:rsid w:val="007B3F34"/>
    <w:rsid w:val="007D4068"/>
    <w:rsid w:val="007E08F5"/>
    <w:rsid w:val="00863296"/>
    <w:rsid w:val="008D0C34"/>
    <w:rsid w:val="009372E8"/>
    <w:rsid w:val="009979E2"/>
    <w:rsid w:val="00A242A4"/>
    <w:rsid w:val="00AC3A98"/>
    <w:rsid w:val="00AD1007"/>
    <w:rsid w:val="00B07011"/>
    <w:rsid w:val="00B21088"/>
    <w:rsid w:val="00B3500C"/>
    <w:rsid w:val="00B911F4"/>
    <w:rsid w:val="00BC2108"/>
    <w:rsid w:val="00CD3026"/>
    <w:rsid w:val="00DE1AEA"/>
    <w:rsid w:val="00DF3FA9"/>
    <w:rsid w:val="00E428D3"/>
    <w:rsid w:val="00E963DB"/>
    <w:rsid w:val="00F065B1"/>
    <w:rsid w:val="00F317C4"/>
    <w:rsid w:val="00FB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1F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60D"/>
    <w:pPr>
      <w:widowControl w:val="0"/>
      <w:autoSpaceDE w:val="0"/>
      <w:autoSpaceDN w:val="0"/>
      <w:spacing w:before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716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7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1F4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726C608948FE2786B86FABB5219A8208F433856D157268E5C6F78D2523143AB2193E2351FB913C380225837EC49DCF91E35B563E2903CM80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A726C608948FE2786B86FABB5219A82088443158D157268E5C6F78D2523143AB2193E73717BD1D93DA325C7EB842C3FF042BB37DE2M901C" TargetMode="External"/><Relationship Id="rId12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A726C608948FE2786B86FABB5219A82088443158D157268E5C6F78D2523143AB2193E73717BB1D93DA325C7EB842C3FF042BB37DE2M901C" TargetMode="External"/><Relationship Id="rId11" Type="http://schemas.openxmlformats.org/officeDocument/2006/relationships/hyperlink" Target="consultantplus://offline/ref=3AA726C608948FE2786B86ECB83E43A62A861F3556D75579D1033425855B3B14EC6ECAB2714AB517C195760D6DBB44DFMF0EC" TargetMode="External"/><Relationship Id="rId5" Type="http://schemas.openxmlformats.org/officeDocument/2006/relationships/hyperlink" Target="mailto:Priemnaya_yagodnoe@49gov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AA726C608948FE2786B86ECB83E43A62A861F3557D05574D4033425855B3B14EC6ECAA07112B916C78B760E78ED1599AA0D34B763E094208339CFM80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726C608948FE2786B86FABB5219A8208A43385CDF57268E5C6F78D2523143B921CBEE3419A616C395740971MB0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IVA-PC</cp:lastModifiedBy>
  <cp:revision>3</cp:revision>
  <cp:lastPrinted>2021-04-22T05:53:00Z</cp:lastPrinted>
  <dcterms:created xsi:type="dcterms:W3CDTF">2021-05-13T22:01:00Z</dcterms:created>
  <dcterms:modified xsi:type="dcterms:W3CDTF">2021-05-13T22:02:00Z</dcterms:modified>
</cp:coreProperties>
</file>