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4B48D5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EC3B2D" w:rsidRDefault="004B48D5" w:rsidP="004B48D5">
      <w:pPr>
        <w:rPr>
          <w:color w:val="000000"/>
        </w:rPr>
      </w:pPr>
      <w:r w:rsidRPr="00EC3B2D">
        <w:rPr>
          <w:color w:val="000000"/>
        </w:rPr>
        <w:t>от «</w:t>
      </w:r>
      <w:r w:rsidR="00A53077">
        <w:rPr>
          <w:color w:val="000000"/>
        </w:rPr>
        <w:t>09</w:t>
      </w:r>
      <w:r w:rsidRPr="00EC3B2D">
        <w:rPr>
          <w:color w:val="000000"/>
        </w:rPr>
        <w:t xml:space="preserve">» </w:t>
      </w:r>
      <w:r w:rsidR="00A53077">
        <w:rPr>
          <w:color w:val="000000"/>
        </w:rPr>
        <w:t>января</w:t>
      </w:r>
      <w:r w:rsidRPr="00EC3B2D">
        <w:rPr>
          <w:color w:val="000000"/>
        </w:rPr>
        <w:t xml:space="preserve"> 2017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A53077">
        <w:rPr>
          <w:color w:val="000000"/>
        </w:rPr>
        <w:t xml:space="preserve">                                              </w:t>
      </w:r>
      <w:r w:rsidRPr="00EC3B2D">
        <w:rPr>
          <w:color w:val="000000"/>
        </w:rPr>
        <w:t xml:space="preserve"> № </w:t>
      </w:r>
      <w:r w:rsidR="00A53077">
        <w:rPr>
          <w:color w:val="000000"/>
        </w:rPr>
        <w:t>5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Default="00390250" w:rsidP="00EF0FBB">
      <w:pPr>
        <w:tabs>
          <w:tab w:val="left" w:pos="765"/>
          <w:tab w:val="left" w:pos="1080"/>
        </w:tabs>
        <w:jc w:val="both"/>
        <w:outlineLvl w:val="0"/>
        <w:rPr>
          <w:b/>
        </w:rPr>
      </w:pPr>
      <w:r w:rsidRPr="00B53317">
        <w:rPr>
          <w:b/>
        </w:rPr>
        <w:t>О</w:t>
      </w:r>
      <w:r w:rsidR="00200046">
        <w:rPr>
          <w:b/>
        </w:rPr>
        <w:t xml:space="preserve">б </w:t>
      </w:r>
      <w:r w:rsidRPr="00B53317">
        <w:rPr>
          <w:b/>
        </w:rPr>
        <w:t xml:space="preserve"> возможности заключения концессионного соглашения </w:t>
      </w:r>
    </w:p>
    <w:p w:rsidR="00B53317" w:rsidRDefault="00390250" w:rsidP="00B53317">
      <w:pPr>
        <w:tabs>
          <w:tab w:val="left" w:pos="765"/>
          <w:tab w:val="left" w:pos="1080"/>
        </w:tabs>
        <w:jc w:val="both"/>
        <w:rPr>
          <w:b/>
        </w:rPr>
      </w:pPr>
      <w:r w:rsidRPr="00B53317">
        <w:rPr>
          <w:b/>
        </w:rPr>
        <w:t xml:space="preserve">с лицом, выступающим с инициативой заключения </w:t>
      </w:r>
    </w:p>
    <w:p w:rsidR="00B53317" w:rsidRDefault="00390250" w:rsidP="00B53317">
      <w:pPr>
        <w:tabs>
          <w:tab w:val="left" w:pos="765"/>
          <w:tab w:val="left" w:pos="1080"/>
        </w:tabs>
        <w:jc w:val="both"/>
        <w:rPr>
          <w:b/>
        </w:rPr>
      </w:pPr>
      <w:r w:rsidRPr="00B53317">
        <w:rPr>
          <w:b/>
        </w:rPr>
        <w:t xml:space="preserve">концессионного соглашения в отношении объектов </w:t>
      </w:r>
    </w:p>
    <w:p w:rsidR="00B53317" w:rsidRDefault="00390250" w:rsidP="00B53317">
      <w:pPr>
        <w:tabs>
          <w:tab w:val="left" w:pos="765"/>
          <w:tab w:val="left" w:pos="1080"/>
        </w:tabs>
        <w:jc w:val="both"/>
        <w:rPr>
          <w:b/>
        </w:rPr>
      </w:pPr>
      <w:r w:rsidRPr="00B53317">
        <w:rPr>
          <w:b/>
        </w:rPr>
        <w:t xml:space="preserve">электросетевого хозяйства на территории </w:t>
      </w:r>
    </w:p>
    <w:p w:rsidR="004B48D5" w:rsidRDefault="00390250" w:rsidP="004B48D5">
      <w:pPr>
        <w:tabs>
          <w:tab w:val="left" w:pos="765"/>
          <w:tab w:val="left" w:pos="1080"/>
        </w:tabs>
        <w:jc w:val="both"/>
        <w:rPr>
          <w:b/>
        </w:rPr>
      </w:pPr>
      <w:r w:rsidRPr="00B53317">
        <w:rPr>
          <w:b/>
        </w:rPr>
        <w:t>муниципального образования «</w:t>
      </w:r>
      <w:r w:rsidR="00967799">
        <w:rPr>
          <w:b/>
        </w:rPr>
        <w:t>Ягоднинский</w:t>
      </w:r>
      <w:r w:rsidRPr="00B53317">
        <w:rPr>
          <w:b/>
        </w:rPr>
        <w:t xml:space="preserve"> городской округ</w:t>
      </w:r>
      <w:r w:rsidR="00DF0436">
        <w:rPr>
          <w:b/>
        </w:rPr>
        <w:t>»</w:t>
      </w:r>
      <w:r w:rsidRPr="00B53317">
        <w:rPr>
          <w:b/>
        </w:rPr>
        <w:t xml:space="preserve">, </w:t>
      </w:r>
    </w:p>
    <w:p w:rsidR="00B53317" w:rsidRDefault="00390250" w:rsidP="004B48D5">
      <w:pPr>
        <w:tabs>
          <w:tab w:val="left" w:pos="765"/>
          <w:tab w:val="left" w:pos="1080"/>
        </w:tabs>
        <w:jc w:val="both"/>
        <w:rPr>
          <w:b/>
        </w:rPr>
      </w:pPr>
      <w:r w:rsidRPr="00B53317">
        <w:rPr>
          <w:b/>
        </w:rPr>
        <w:t xml:space="preserve">на представленных в предложении о заключении </w:t>
      </w:r>
    </w:p>
    <w:p w:rsidR="00390250" w:rsidRPr="00B53317" w:rsidRDefault="00390250" w:rsidP="00B53317">
      <w:pPr>
        <w:tabs>
          <w:tab w:val="left" w:pos="765"/>
          <w:tab w:val="left" w:pos="1080"/>
        </w:tabs>
        <w:jc w:val="both"/>
      </w:pPr>
      <w:r w:rsidRPr="00B53317">
        <w:rPr>
          <w:b/>
        </w:rPr>
        <w:t>концессионного соглашения условиях</w:t>
      </w:r>
    </w:p>
    <w:p w:rsidR="00390250" w:rsidRPr="00B53317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4B48D5" w:rsidRPr="00B560BA" w:rsidRDefault="00733310" w:rsidP="004B48D5">
      <w:pPr>
        <w:pStyle w:val="ac"/>
        <w:rPr>
          <w:szCs w:val="24"/>
        </w:rPr>
      </w:pPr>
      <w:r>
        <w:t xml:space="preserve">В связи с полученным предложением о заключении концессионного соглашения от лица, </w:t>
      </w:r>
      <w:r w:rsidR="004B48D5">
        <w:t>выступающего</w:t>
      </w:r>
      <w:r w:rsidRPr="00B53317">
        <w:t xml:space="preserve"> с инициативой заключ</w:t>
      </w:r>
      <w:r w:rsidR="004B48D5">
        <w:t>ения концессионного соглашения- о</w:t>
      </w:r>
      <w:r w:rsidRPr="00B53317">
        <w:t>бществ</w:t>
      </w:r>
      <w:r w:rsidR="004B48D5">
        <w:t>а</w:t>
      </w:r>
      <w:r w:rsidRPr="00B53317">
        <w:t xml:space="preserve"> с ограниченной ответственностью «Региональные энергетические системы»,</w:t>
      </w:r>
      <w:r>
        <w:t xml:space="preserve"> р</w:t>
      </w:r>
      <w:r w:rsidR="00390250" w:rsidRPr="00B53317">
        <w:t xml:space="preserve">уководствуясь Федеральным законом </w:t>
      </w:r>
      <w:r w:rsidR="004B48D5" w:rsidRPr="00B53317">
        <w:t>от 26.07.200</w:t>
      </w:r>
      <w:r w:rsidR="004B48D5">
        <w:t xml:space="preserve">6 года </w:t>
      </w:r>
      <w:r w:rsidR="00390250" w:rsidRPr="00B53317">
        <w:t xml:space="preserve">№ 135-ФЗ </w:t>
      </w:r>
      <w:r>
        <w:t>«О защите конкуренции», Федеральным законом</w:t>
      </w:r>
      <w:r w:rsidR="00390250" w:rsidRPr="00B53317">
        <w:t xml:space="preserve"> </w:t>
      </w:r>
      <w:r w:rsidR="004B48D5" w:rsidRPr="00B53317">
        <w:t xml:space="preserve">от 21.07.2005 </w:t>
      </w:r>
      <w:r w:rsidR="004B48D5">
        <w:t xml:space="preserve">года </w:t>
      </w:r>
      <w:r w:rsidR="00390250" w:rsidRPr="00B53317">
        <w:t xml:space="preserve">№ 115-ФЗ «О концессионных соглашениях», Федеральным законом </w:t>
      </w:r>
      <w:r w:rsidR="004B48D5" w:rsidRPr="00B53317">
        <w:t xml:space="preserve">от 26.03.2003 </w:t>
      </w:r>
      <w:r w:rsidR="004B48D5">
        <w:t xml:space="preserve">года </w:t>
      </w:r>
      <w:r w:rsidR="00390250" w:rsidRPr="00B53317">
        <w:t>№ 35-ФЗ «Об электроэнергетике</w:t>
      </w:r>
      <w:r w:rsidR="004B48D5">
        <w:t>»,</w:t>
      </w:r>
      <w:r w:rsidR="004B48D5" w:rsidRPr="004B48D5">
        <w:rPr>
          <w:szCs w:val="24"/>
        </w:rPr>
        <w:t xml:space="preserve"> </w:t>
      </w:r>
      <w:r w:rsidR="004B48D5" w:rsidRPr="00B560BA">
        <w:rPr>
          <w:szCs w:val="24"/>
        </w:rPr>
        <w:t>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11179E" w:rsidRDefault="00390250" w:rsidP="0051333E">
      <w:pPr>
        <w:numPr>
          <w:ilvl w:val="0"/>
          <w:numId w:val="1"/>
        </w:numPr>
        <w:ind w:left="0" w:firstLine="0"/>
        <w:jc w:val="both"/>
      </w:pPr>
      <w:r w:rsidRPr="00B53317">
        <w:t>Пред</w:t>
      </w:r>
      <w:r w:rsidR="00EF0FBB">
        <w:t>усмотреть возможность заключени</w:t>
      </w:r>
      <w:r w:rsidR="007A3E3E">
        <w:t>я</w:t>
      </w:r>
      <w:r w:rsidRPr="00B53317">
        <w:t xml:space="preserve"> концессионного соглашения в отношении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4B48D5">
        <w:t xml:space="preserve"> </w:t>
      </w:r>
      <w:r w:rsidR="00A35DD9">
        <w:t>недвижимого имущества</w:t>
      </w:r>
      <w:r w:rsidR="00A35DD9" w:rsidRPr="00B53317">
        <w:t xml:space="preserve"> электросетевого комплекса муниципального образования «</w:t>
      </w:r>
      <w:r w:rsidR="00967799">
        <w:t>Ягоднинский</w:t>
      </w:r>
      <w:r w:rsidR="00A35DD9" w:rsidRPr="00B53317">
        <w:t xml:space="preserve"> городской округ», </w:t>
      </w:r>
      <w:r w:rsidR="00A35DD9">
        <w:t>предназначенного</w:t>
      </w:r>
      <w:r w:rsidR="00A35DD9" w:rsidRPr="00B53317">
        <w:t xml:space="preserve"> для </w:t>
      </w:r>
      <w:r w:rsidR="00A35DD9">
        <w:t xml:space="preserve">передачи и распределения электрической энергии, </w:t>
      </w:r>
      <w:r w:rsidRPr="00B53317">
        <w:t xml:space="preserve">с лицом, выступающим с инициативой заключения концессионного соглашения - </w:t>
      </w:r>
      <w:r w:rsidR="004B48D5">
        <w:t>о</w:t>
      </w:r>
      <w:r w:rsidRPr="00B53317">
        <w:t xml:space="preserve">бществом с ограниченной ответственностью «Региональные энергетические системы», на предложенных </w:t>
      </w:r>
      <w:r w:rsidRPr="0011179E">
        <w:t>им условиях.</w:t>
      </w:r>
    </w:p>
    <w:p w:rsidR="00200046" w:rsidRPr="0011179E" w:rsidRDefault="00200046" w:rsidP="0051333E">
      <w:pPr>
        <w:numPr>
          <w:ilvl w:val="0"/>
          <w:numId w:val="1"/>
        </w:numPr>
        <w:ind w:left="0" w:firstLine="0"/>
        <w:jc w:val="both"/>
      </w:pPr>
      <w:r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Pr="0011179E">
        <w:t>:</w:t>
      </w:r>
    </w:p>
    <w:p w:rsidR="00200046" w:rsidRDefault="00200046" w:rsidP="0051333E">
      <w:pPr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51333E" w:rsidRDefault="00733310" w:rsidP="0051333E">
      <w:pPr>
        <w:jc w:val="both"/>
      </w:pPr>
      <w:r>
        <w:t>2.2. Разместить у</w:t>
      </w:r>
      <w:r w:rsidRPr="00AA28DD">
        <w:t>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>
        <w:t xml:space="preserve">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51333E">
        <w:t xml:space="preserve"> </w:t>
      </w:r>
      <w:r w:rsidR="00A35DD9">
        <w:t>недвижимого имущества</w:t>
      </w:r>
      <w:r w:rsidR="00A35DD9" w:rsidRPr="00B53317">
        <w:t xml:space="preserve"> электросетевого комплекса муниципального образования «</w:t>
      </w:r>
      <w:r w:rsidR="00967799">
        <w:t>Ягоднинский</w:t>
      </w:r>
      <w:r w:rsidR="00A35DD9" w:rsidRPr="00B53317">
        <w:t xml:space="preserve"> городской округ», </w:t>
      </w:r>
      <w:r w:rsidR="00A35DD9">
        <w:t>предназначенного</w:t>
      </w:r>
      <w:r w:rsidR="00A35DD9" w:rsidRPr="00B53317">
        <w:t xml:space="preserve"> для </w:t>
      </w:r>
      <w:r w:rsidR="00A35DD9" w:rsidRPr="0051333E">
        <w:t>передачи и распределения электрической энергии</w:t>
      </w:r>
      <w:r w:rsidRPr="0051333E">
        <w:t>, 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51333E">
        <w:t xml:space="preserve"> (Приложение № 2</w:t>
      </w:r>
      <w:r w:rsidR="001C5B48" w:rsidRPr="0051333E">
        <w:t>)</w:t>
      </w:r>
      <w:r w:rsidRPr="0051333E">
        <w:t>.</w:t>
      </w:r>
    </w:p>
    <w:p w:rsidR="0051333E" w:rsidRPr="0051333E" w:rsidRDefault="0051333E" w:rsidP="0051333E">
      <w:pPr>
        <w:pStyle w:val="ac"/>
        <w:numPr>
          <w:ilvl w:val="0"/>
          <w:numId w:val="1"/>
        </w:numPr>
        <w:ind w:left="0" w:firstLine="0"/>
        <w:rPr>
          <w:szCs w:val="24"/>
        </w:rPr>
      </w:pPr>
      <w:r w:rsidRPr="0051333E">
        <w:rPr>
          <w:szCs w:val="24"/>
        </w:rPr>
        <w:lastRenderedPageBreak/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Pr="0051333E">
        <w:rPr>
          <w:szCs w:val="24"/>
          <w:lang w:val="en-US"/>
        </w:rPr>
        <w:t>http</w:t>
      </w:r>
      <w:r w:rsidRPr="0051333E">
        <w:rPr>
          <w:szCs w:val="24"/>
        </w:rPr>
        <w:t>://</w:t>
      </w:r>
      <w:r w:rsidRPr="0051333E">
        <w:rPr>
          <w:szCs w:val="24"/>
          <w:lang w:val="en-US"/>
        </w:rPr>
        <w:t>yagodnoeadm</w:t>
      </w:r>
      <w:r w:rsidRPr="0051333E">
        <w:rPr>
          <w:szCs w:val="24"/>
        </w:rPr>
        <w:t>.</w:t>
      </w:r>
      <w:r w:rsidRPr="0051333E">
        <w:rPr>
          <w:szCs w:val="24"/>
          <w:lang w:val="en-US"/>
        </w:rPr>
        <w:t>ru</w:t>
      </w:r>
      <w:r w:rsidRPr="0051333E">
        <w:rPr>
          <w:szCs w:val="24"/>
        </w:rPr>
        <w:t>).</w:t>
      </w:r>
    </w:p>
    <w:p w:rsidR="001C5B48" w:rsidRPr="0051333E" w:rsidRDefault="001C5B48" w:rsidP="0051333E">
      <w:pPr>
        <w:numPr>
          <w:ilvl w:val="0"/>
          <w:numId w:val="1"/>
        </w:numPr>
        <w:ind w:left="0" w:firstLine="0"/>
        <w:jc w:val="both"/>
      </w:pPr>
      <w:r w:rsidRPr="0051333E">
        <w:t>Настоящее Постановление вступает в силу со дня официального опубликования.</w:t>
      </w:r>
    </w:p>
    <w:p w:rsidR="00980F2E" w:rsidRPr="0051333E" w:rsidRDefault="00980F2E" w:rsidP="0051333E">
      <w:pPr>
        <w:numPr>
          <w:ilvl w:val="0"/>
          <w:numId w:val="1"/>
        </w:numPr>
        <w:ind w:left="0" w:firstLine="0"/>
        <w:jc w:val="both"/>
      </w:pPr>
      <w:r w:rsidRPr="0051333E">
        <w:t>Контроль за исполнением настоящего Постановления оставляю за собой.</w:t>
      </w:r>
    </w:p>
    <w:p w:rsidR="00B53317" w:rsidRPr="0051333E" w:rsidRDefault="00B53317" w:rsidP="0051333E"/>
    <w:p w:rsidR="0051333E" w:rsidRPr="0051333E" w:rsidRDefault="0051333E" w:rsidP="0051333E">
      <w:pPr>
        <w:spacing w:line="240" w:lineRule="atLeast"/>
        <w:jc w:val="both"/>
      </w:pPr>
      <w:r w:rsidRPr="0051333E">
        <w:t>И.о. главы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Pr="0051333E">
        <w:t xml:space="preserve"> Л.А. Гужавина             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79E" w:rsidRDefault="0011179E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79E" w:rsidRDefault="0011179E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51333E" w:rsidRPr="00662C0A" w:rsidTr="0051333E">
        <w:tc>
          <w:tcPr>
            <w:tcW w:w="3645" w:type="dxa"/>
          </w:tcPr>
          <w:p w:rsidR="0021756D" w:rsidRDefault="0051333E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№ </w:t>
            </w:r>
            <w:r w:rsidR="0021756D">
              <w:rPr>
                <w:sz w:val="22"/>
                <w:szCs w:val="22"/>
              </w:rPr>
              <w:t>5</w:t>
            </w:r>
            <w:r w:rsidRPr="00A00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21756D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1333E" w:rsidRPr="00A0073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09.01.</w:t>
            </w:r>
            <w:r w:rsidR="0051333E" w:rsidRPr="00A0073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="0051333E" w:rsidRPr="00A00736">
              <w:rPr>
                <w:sz w:val="22"/>
                <w:szCs w:val="22"/>
              </w:rPr>
              <w:t xml:space="preserve"> года</w:t>
            </w:r>
          </w:p>
          <w:p w:rsidR="0051333E" w:rsidRPr="00A00736" w:rsidRDefault="0051333E" w:rsidP="00B51866">
            <w:pPr>
              <w:rPr>
                <w:bCs/>
                <w:sz w:val="22"/>
                <w:szCs w:val="22"/>
              </w:rPr>
            </w:pPr>
          </w:p>
        </w:tc>
      </w:tr>
    </w:tbl>
    <w:p w:rsidR="0051333E" w:rsidRDefault="0051333E" w:rsidP="0051333E">
      <w:pPr>
        <w:pStyle w:val="3"/>
        <w:rPr>
          <w:color w:val="000000"/>
        </w:rPr>
      </w:pPr>
    </w:p>
    <w:p w:rsidR="0051333E" w:rsidRDefault="0051333E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 xml:space="preserve">В соответствии с пунктом 4.7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2063BD">
        <w:rPr>
          <w:b/>
        </w:rPr>
        <w:t xml:space="preserve">от 21.07.2005 </w:t>
      </w:r>
      <w:r w:rsidR="0051333E">
        <w:rPr>
          <w:b/>
        </w:rPr>
        <w:t xml:space="preserve">года </w:t>
      </w:r>
      <w:r w:rsidRPr="00335548">
        <w:t>№</w:t>
      </w:r>
      <w:r w:rsidRPr="00AE7DF9">
        <w:t xml:space="preserve"> 115-ФЗ от 21.07.2005 года</w:t>
      </w:r>
      <w:r w:rsidR="0051333E">
        <w:t xml:space="preserve">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Федерации,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с </w:t>
      </w:r>
      <w:r w:rsidR="003001BE" w:rsidRPr="00EC3B2D">
        <w:t xml:space="preserve">9-00 </w:t>
      </w:r>
      <w:r w:rsidRPr="00EC3B2D">
        <w:t>ч</w:t>
      </w:r>
      <w:r w:rsidR="002063BD" w:rsidRPr="00EC3B2D">
        <w:t xml:space="preserve">асов </w:t>
      </w:r>
      <w:r w:rsidR="00EC3B2D" w:rsidRPr="00EC3B2D">
        <w:t>11</w:t>
      </w:r>
      <w:r w:rsidR="002063BD" w:rsidRPr="00EC3B2D">
        <w:t>.</w:t>
      </w:r>
      <w:r w:rsidR="00EC3B2D" w:rsidRPr="00EC3B2D">
        <w:t>01</w:t>
      </w:r>
      <w:r w:rsidR="002063BD" w:rsidRPr="00EC3B2D">
        <w:t>.201</w:t>
      </w:r>
      <w:r w:rsidR="003001BE" w:rsidRPr="00EC3B2D">
        <w:t xml:space="preserve">7 </w:t>
      </w:r>
      <w:r w:rsidR="002063BD" w:rsidRPr="00EC3B2D">
        <w:t xml:space="preserve"> года</w:t>
      </w:r>
      <w:r w:rsidR="003001BE" w:rsidRPr="00EC3B2D">
        <w:t xml:space="preserve"> </w:t>
      </w:r>
      <w:r w:rsidR="002063BD" w:rsidRPr="00EC3B2D">
        <w:t xml:space="preserve">по </w:t>
      </w:r>
      <w:r w:rsidR="003001BE" w:rsidRPr="00EC3B2D">
        <w:t xml:space="preserve">17-15 </w:t>
      </w:r>
      <w:r w:rsidRPr="00EC3B2D">
        <w:t>ч</w:t>
      </w:r>
      <w:r w:rsidR="002063BD" w:rsidRPr="00EC3B2D">
        <w:t xml:space="preserve">асов </w:t>
      </w:r>
      <w:r w:rsidR="00EC3B2D" w:rsidRPr="00EC3B2D">
        <w:t>2</w:t>
      </w:r>
      <w:r w:rsidR="0021756D">
        <w:t>7</w:t>
      </w:r>
      <w:r w:rsidR="002063BD" w:rsidRPr="00EC3B2D">
        <w:t>.</w:t>
      </w:r>
      <w:r w:rsidR="00EC3B2D" w:rsidRPr="00EC3B2D">
        <w:t>02</w:t>
      </w:r>
      <w:r w:rsidR="005651DB" w:rsidRPr="00EC3B2D">
        <w:t>.2017</w:t>
      </w:r>
      <w:r w:rsidR="002063BD" w:rsidRPr="00EC3B2D">
        <w:t>года</w:t>
      </w:r>
      <w:r w:rsidR="005651DB" w:rsidRPr="00EC3B2D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3B1B4F" w:rsidRPr="000E7EBC">
        <w:t>пос.</w:t>
      </w:r>
      <w:r w:rsidR="003001BE">
        <w:t xml:space="preserve"> </w:t>
      </w:r>
      <w:r w:rsidR="003B1B4F" w:rsidRPr="000E7EBC">
        <w:t>Ягодное Магаданской области, ул.Спортивная,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Pr="00700872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35548" w:rsidRPr="00AE7DF9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300E">
        <w:rPr>
          <w:b/>
        </w:rPr>
        <w:lastRenderedPageBreak/>
        <w:t>Условия заключения 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A35DD9" w:rsidRPr="003F0169" w:rsidRDefault="00A35DD9" w:rsidP="00E709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Технологически связанное между собой</w:t>
            </w:r>
            <w:r w:rsidR="00FA1E96">
              <w:rPr>
                <w:rFonts w:ascii="Times New Roman" w:hAnsi="Times New Roman" w:cs="Times New Roman"/>
              </w:rPr>
              <w:t xml:space="preserve"> реконструируемое и</w:t>
            </w:r>
            <w:r w:rsidRPr="003F0169">
              <w:rPr>
                <w:rFonts w:ascii="Times New Roman" w:hAnsi="Times New Roman" w:cs="Times New Roman"/>
              </w:rPr>
              <w:t xml:space="preserve"> вновь создаваемого недвижимое имущество электросетевого комплекса муниципального образования «</w:t>
            </w:r>
            <w:r w:rsidR="00FA1E96">
              <w:rPr>
                <w:rFonts w:ascii="Times New Roman" w:hAnsi="Times New Roman" w:cs="Times New Roman"/>
              </w:rPr>
              <w:t>Ягоднинский</w:t>
            </w:r>
            <w:r w:rsidR="003001BE">
              <w:rPr>
                <w:rFonts w:ascii="Times New Roman" w:hAnsi="Times New Roman" w:cs="Times New Roman"/>
              </w:rPr>
              <w:t xml:space="preserve">  городской округ»</w:t>
            </w:r>
            <w:r w:rsidRPr="003F0169">
              <w:rPr>
                <w:rFonts w:ascii="Times New Roman" w:hAnsi="Times New Roman" w:cs="Times New Roman"/>
              </w:rPr>
              <w:t>, предназначенное для передачи и распределения электрической энергии.</w:t>
            </w:r>
          </w:p>
          <w:p w:rsidR="00BF6391" w:rsidRPr="00AE7DF9" w:rsidRDefault="00FC2B99" w:rsidP="00E709F1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64302B" w:rsidRPr="001975A5">
              <w:rPr>
                <w:color w:val="000000"/>
              </w:rPr>
              <w:t>16 491 914,64</w:t>
            </w:r>
            <w:r w:rsidR="0064302B" w:rsidRPr="001975A5">
              <w:t xml:space="preserve"> рубля</w:t>
            </w:r>
            <w:r w:rsidR="001975A5" w:rsidRPr="001975A5">
              <w:t xml:space="preserve"> (шестнадцать миллионов четыреста девяносто одна тысяча девятьсот четырнадцать рублей шестьдесят четыре копейки)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Pr="003F0169" w:rsidRDefault="00F744AC" w:rsidP="00E709F1">
            <w:r w:rsidRPr="003F0169">
              <w:t>Концессионер обязан в срок до 0</w:t>
            </w:r>
            <w:r w:rsidR="007047A3" w:rsidRPr="003F0169">
              <w:t xml:space="preserve">1 </w:t>
            </w:r>
            <w:r w:rsidRPr="003F0169">
              <w:t>октя</w:t>
            </w:r>
            <w:r w:rsidR="007047A3" w:rsidRPr="003F0169">
              <w:t>бря 2017 года за свой счет разработать и перед</w:t>
            </w:r>
            <w:r w:rsidR="00387243" w:rsidRPr="003F0169">
              <w:t>ать к</w:t>
            </w:r>
            <w:r w:rsidR="007047A3" w:rsidRPr="003F0169">
              <w:t xml:space="preserve">онцеденту проектную документацию, необходимую для </w:t>
            </w:r>
            <w:r w:rsidRPr="003F0169">
              <w:t>создания</w:t>
            </w:r>
            <w:r w:rsidR="007A78A4">
              <w:t xml:space="preserve"> и реконструкции</w:t>
            </w:r>
            <w:r w:rsidR="007047A3" w:rsidRPr="003F0169">
              <w:t xml:space="preserve"> недвижимого имущест</w:t>
            </w:r>
            <w:r w:rsidR="007A78A4">
              <w:t>ва, входящего в состав объекта концессионного с</w:t>
            </w:r>
            <w:r w:rsidR="007047A3" w:rsidRPr="003F0169">
              <w:t>оглашения</w:t>
            </w:r>
          </w:p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>Концедент обязуется передать концессионеру реконструируемое недвижимое имущество, входящее в состав объекта концессионного соглашения, не позднее 5 рабочих дней с даты подписания сторонами концессионного соглашения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F11643" w:rsidRPr="003F0169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 объектом концессионного соглашения и необходимое для осуществления концессионером деятельности по передаче и распределению электрической энергии, а также права владения и пользования указанным имуществом, не позднее 10 календарных дней с даты подписания концессионного соглашения</w:t>
            </w:r>
            <w:bookmarkStart w:id="0" w:name="P153"/>
            <w:bookmarkEnd w:id="0"/>
            <w:r w:rsidRPr="003F0169">
              <w:rPr>
                <w:rFonts w:ascii="Times New Roman" w:hAnsi="Times New Roman" w:cs="Times New Roman"/>
              </w:rPr>
              <w:t>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1B4E09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О</w:t>
            </w:r>
            <w:r w:rsidR="001B4E09" w:rsidRPr="003F0169">
              <w:rPr>
                <w:rFonts w:ascii="Times New Roman" w:hAnsi="Times New Roman" w:cs="Times New Roman"/>
              </w:rPr>
              <w:t>бязательства</w:t>
            </w:r>
            <w:r w:rsidRPr="003F0169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3F0169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3F0169">
              <w:rPr>
                <w:rFonts w:ascii="Times New Roman" w:hAnsi="Times New Roman" w:cs="Times New Roman"/>
              </w:rPr>
              <w:t>ическом состоянии,</w:t>
            </w:r>
            <w:r w:rsidR="00387243" w:rsidRPr="003F0169">
              <w:rPr>
                <w:rFonts w:ascii="Times New Roman" w:hAnsi="Times New Roman" w:cs="Times New Roman"/>
              </w:rPr>
              <w:t xml:space="preserve"> эксплуатации, </w:t>
            </w:r>
            <w:r w:rsidR="001763C4">
              <w:rPr>
                <w:rFonts w:ascii="Times New Roman" w:hAnsi="Times New Roman" w:cs="Times New Roman"/>
              </w:rPr>
              <w:t>текущ</w:t>
            </w:r>
            <w:r w:rsidR="00347DED">
              <w:rPr>
                <w:rFonts w:ascii="Times New Roman" w:hAnsi="Times New Roman" w:cs="Times New Roman"/>
              </w:rPr>
              <w:t>ем</w:t>
            </w:r>
            <w:r w:rsidR="001763C4">
              <w:rPr>
                <w:rFonts w:ascii="Times New Roman" w:hAnsi="Times New Roman" w:cs="Times New Roman"/>
              </w:rPr>
              <w:t xml:space="preserve"> и капитал</w:t>
            </w:r>
            <w:r w:rsidR="00347DED">
              <w:rPr>
                <w:rFonts w:ascii="Times New Roman" w:hAnsi="Times New Roman" w:cs="Times New Roman"/>
              </w:rPr>
              <w:t>ь</w:t>
            </w:r>
            <w:r w:rsidR="001763C4">
              <w:rPr>
                <w:rFonts w:ascii="Times New Roman" w:hAnsi="Times New Roman" w:cs="Times New Roman"/>
              </w:rPr>
              <w:t xml:space="preserve">ном </w:t>
            </w:r>
            <w:r w:rsidR="00347DED" w:rsidRPr="003F0169">
              <w:rPr>
                <w:rFonts w:ascii="Times New Roman" w:hAnsi="Times New Roman" w:cs="Times New Roman"/>
              </w:rPr>
              <w:t>ремонте</w:t>
            </w:r>
            <w:r w:rsidR="00387243" w:rsidRPr="003F0169">
              <w:rPr>
                <w:rFonts w:ascii="Times New Roman" w:hAnsi="Times New Roman" w:cs="Times New Roman"/>
              </w:rPr>
              <w:t>, модернизации, замене морально устаревшего и физически изношенного оборудования новым оборудованием, проведению мероприятий по улучшению характеристик и эксплуатационных свойств имущества</w:t>
            </w:r>
            <w:r w:rsidR="001B4E09" w:rsidRPr="003F0169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3F0169">
              <w:rPr>
                <w:rFonts w:ascii="Times New Roman" w:hAnsi="Times New Roman" w:cs="Times New Roman"/>
              </w:rPr>
              <w:t>:</w:t>
            </w:r>
          </w:p>
          <w:p w:rsidR="001B4E09" w:rsidRPr="003F0169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3F0169">
              <w:rPr>
                <w:rFonts w:ascii="Times New Roman" w:hAnsi="Times New Roman" w:cs="Times New Roman"/>
              </w:rPr>
              <w:t>оглашения (</w:t>
            </w:r>
            <w:r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3F0169">
              <w:rPr>
                <w:rFonts w:ascii="Times New Roman" w:hAnsi="Times New Roman" w:cs="Times New Roman"/>
              </w:rPr>
              <w:t>имущест</w:t>
            </w:r>
            <w:r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 за свой счет осуществлять в отношении: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B079F8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оглашения,</w:t>
            </w:r>
          </w:p>
          <w:p w:rsidR="00335548" w:rsidRPr="003F0169" w:rsidRDefault="00387243" w:rsidP="00347DED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поддержание в и</w:t>
            </w:r>
            <w:r w:rsidR="00B079F8" w:rsidRPr="003F0169">
              <w:rPr>
                <w:rFonts w:ascii="Times New Roman" w:hAnsi="Times New Roman" w:cs="Times New Roman"/>
              </w:rPr>
              <w:t>справном техническом состоянии,</w:t>
            </w:r>
            <w:r w:rsidRPr="003F0169">
              <w:rPr>
                <w:rFonts w:ascii="Times New Roman" w:hAnsi="Times New Roman" w:cs="Times New Roman"/>
              </w:rPr>
              <w:t xml:space="preserve"> эксплуатацию, </w:t>
            </w:r>
            <w:r w:rsidR="00995131">
              <w:rPr>
                <w:rFonts w:ascii="Times New Roman" w:hAnsi="Times New Roman" w:cs="Times New Roman"/>
              </w:rPr>
              <w:t>текущи</w:t>
            </w:r>
            <w:r w:rsidR="00347DED">
              <w:rPr>
                <w:rFonts w:ascii="Times New Roman" w:hAnsi="Times New Roman" w:cs="Times New Roman"/>
              </w:rPr>
              <w:t>й</w:t>
            </w:r>
            <w:r w:rsidR="00995131">
              <w:rPr>
                <w:rFonts w:ascii="Times New Roman" w:hAnsi="Times New Roman" w:cs="Times New Roman"/>
              </w:rPr>
              <w:t xml:space="preserve"> и </w:t>
            </w:r>
            <w:r w:rsidR="00347DED">
              <w:rPr>
                <w:rFonts w:ascii="Times New Roman" w:hAnsi="Times New Roman" w:cs="Times New Roman"/>
              </w:rPr>
              <w:t>капитальный</w:t>
            </w:r>
            <w:r w:rsidR="00995131">
              <w:rPr>
                <w:rFonts w:ascii="Times New Roman" w:hAnsi="Times New Roman" w:cs="Times New Roman"/>
              </w:rPr>
              <w:t xml:space="preserve"> </w:t>
            </w:r>
            <w:r w:rsidRPr="003F0169">
              <w:rPr>
                <w:rFonts w:ascii="Times New Roman" w:hAnsi="Times New Roman" w:cs="Times New Roman"/>
              </w:rPr>
              <w:t xml:space="preserve">ремонт, модернизацию, замену морально устаревшего и физически изношенного оборудования новым оборудованием, </w:t>
            </w:r>
            <w:r w:rsidR="00B079F8" w:rsidRPr="003F0169">
              <w:rPr>
                <w:rFonts w:ascii="Times New Roman" w:hAnsi="Times New Roman" w:cs="Times New Roman"/>
              </w:rPr>
              <w:t>проведение мероприятий</w:t>
            </w:r>
            <w:r w:rsidRPr="003F0169">
              <w:rPr>
                <w:rFonts w:ascii="Times New Roman" w:hAnsi="Times New Roman" w:cs="Times New Roman"/>
              </w:rPr>
              <w:t xml:space="preserve"> по улучшению </w:t>
            </w:r>
            <w:r w:rsidR="000C2C6F" w:rsidRPr="003F0169">
              <w:rPr>
                <w:rFonts w:ascii="Times New Roman" w:hAnsi="Times New Roman" w:cs="Times New Roman"/>
              </w:rPr>
              <w:t xml:space="preserve">технических </w:t>
            </w:r>
            <w:r w:rsidRPr="003F0169">
              <w:rPr>
                <w:rFonts w:ascii="Times New Roman" w:hAnsi="Times New Roman" w:cs="Times New Roman"/>
              </w:rPr>
              <w:t>характеристик и эксплуатационных свойств имущества, а также энергосберегающие и иные мероприятия в соответствии с д</w:t>
            </w:r>
            <w:r w:rsidR="003F0169">
              <w:rPr>
                <w:rFonts w:ascii="Times New Roman" w:hAnsi="Times New Roman" w:cs="Times New Roman"/>
              </w:rPr>
              <w:t>ействующим законодательством РФ</w:t>
            </w: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2066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2067 года</w:t>
            </w:r>
          </w:p>
        </w:tc>
      </w:tr>
      <w:tr w:rsidR="00335548" w:rsidRPr="003F0169" w:rsidTr="003F0169">
        <w:trPr>
          <w:trHeight w:val="764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заключить с концессионером договор</w:t>
            </w:r>
            <w:r w:rsidR="00F76128" w:rsidRPr="003F0169">
              <w:rPr>
                <w:rFonts w:ascii="Times New Roman" w:hAnsi="Times New Roman" w:cs="Times New Roman"/>
              </w:rPr>
              <w:t xml:space="preserve"> (договоры)</w:t>
            </w:r>
            <w:r w:rsidRPr="003F0169">
              <w:rPr>
                <w:rFonts w:ascii="Times New Roman" w:hAnsi="Times New Roman" w:cs="Times New Roman"/>
              </w:rPr>
              <w:t xml:space="preserve"> аренды земельного участка, на котором </w:t>
            </w:r>
            <w:r w:rsidR="00F76128" w:rsidRPr="003F0169">
              <w:rPr>
                <w:rFonts w:ascii="Times New Roman" w:hAnsi="Times New Roman" w:cs="Times New Roman"/>
              </w:rPr>
              <w:t xml:space="preserve">будет </w:t>
            </w:r>
            <w:r w:rsidRPr="003F0169">
              <w:rPr>
                <w:rFonts w:ascii="Times New Roman" w:hAnsi="Times New Roman" w:cs="Times New Roman"/>
              </w:rPr>
              <w:t xml:space="preserve">располагается объект концессионного оглашения </w:t>
            </w:r>
            <w:r w:rsidR="002365C7">
              <w:rPr>
                <w:rFonts w:ascii="Times New Roman" w:hAnsi="Times New Roman" w:cs="Times New Roman"/>
              </w:rPr>
              <w:t xml:space="preserve">(недвижимое имущество, входящее в состав объекта соглашения) </w:t>
            </w:r>
            <w:r w:rsidRPr="003F0169">
              <w:rPr>
                <w:rFonts w:ascii="Times New Roman" w:hAnsi="Times New Roman" w:cs="Times New Roman"/>
              </w:rPr>
              <w:t>и который необходим для осуществления концессионером деятельности по передаче и распределению электрической энергии.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Арендная плата за переданный земельный участок устанавливается на основании решения уполномоченного органа местного самоуправления.</w:t>
            </w:r>
          </w:p>
          <w:p w:rsidR="00335548" w:rsidRPr="003F0169" w:rsidRDefault="00335548" w:rsidP="00E709F1">
            <w:r w:rsidRPr="003F0169">
              <w:t xml:space="preserve">Если не осуществлен государственный кадастровый учет земельных участков, на которых располагаются объекты концессионного соглашения и который необходим для осуществления концессионером деятельности, предусмотренной концессионным соглашением, </w:t>
            </w:r>
            <w:r w:rsidR="00F76128" w:rsidRPr="003F0169">
              <w:t>концедент</w:t>
            </w:r>
            <w:r w:rsidRPr="003F0169">
              <w:t xml:space="preserve"> обязан за свой счет обеспечить выполнение в отношении этого земельного участка</w:t>
            </w:r>
            <w:r w:rsidR="00F76128" w:rsidRPr="003F0169">
              <w:t xml:space="preserve"> выполнение </w:t>
            </w:r>
            <w:r w:rsidRPr="003F0169">
              <w:t xml:space="preserve">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      </w:r>
          </w:p>
          <w:p w:rsidR="00335548" w:rsidRPr="003F0169" w:rsidRDefault="00335548" w:rsidP="00E709F1">
            <w:r w:rsidRPr="003F0169">
              <w:t xml:space="preserve">Договор (договоры) аренды земельных участков заключается в течение </w:t>
            </w:r>
            <w:r w:rsidR="00F76128" w:rsidRPr="003F0169">
              <w:t>30</w:t>
            </w:r>
            <w:r w:rsidRPr="003F0169">
              <w:t xml:space="preserve"> рабочих дней после проведения государственного кадастрового учета земельных участков.</w:t>
            </w:r>
          </w:p>
          <w:p w:rsidR="00335548" w:rsidRPr="003F0169" w:rsidRDefault="00335548" w:rsidP="00E709F1">
            <w:r w:rsidRPr="003F0169">
              <w:t>Земельные участки предоставляются в аренду на весь срок использования (эксплуатации) объектов ко</w:t>
            </w:r>
            <w:r w:rsidR="00F76128" w:rsidRPr="003F0169">
              <w:t>нцессионного соглашения</w:t>
            </w:r>
          </w:p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E709F1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2066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335548" w:rsidRPr="0070335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Концессионер обязан ежегодно обеспечивать </w:t>
            </w:r>
            <w:r w:rsidRPr="0070335E">
              <w:rPr>
                <w:rFonts w:ascii="Times New Roman" w:hAnsi="Times New Roman" w:cs="Times New Roman"/>
              </w:rPr>
              <w:t xml:space="preserve">исполнение обязательств по </w:t>
            </w:r>
            <w:r w:rsidR="009D2898" w:rsidRPr="0070335E">
              <w:rPr>
                <w:rFonts w:ascii="Times New Roman" w:hAnsi="Times New Roman" w:cs="Times New Roman"/>
              </w:rPr>
              <w:t>созданию</w:t>
            </w:r>
            <w:r w:rsidR="0070335E" w:rsidRPr="0070335E">
              <w:rPr>
                <w:rFonts w:ascii="Times New Roman" w:hAnsi="Times New Roman" w:cs="Times New Roman"/>
              </w:rPr>
              <w:t xml:space="preserve"> и реконструкции</w:t>
            </w:r>
            <w:r w:rsidRPr="0070335E">
              <w:rPr>
                <w:rFonts w:ascii="Times New Roman" w:hAnsi="Times New Roman" w:cs="Times New Roman"/>
              </w:rPr>
              <w:t xml:space="preserve"> объекта концессионного соглашения </w:t>
            </w:r>
            <w:r w:rsidR="0070335E" w:rsidRPr="0070335E">
              <w:rPr>
                <w:rFonts w:ascii="Times New Roman" w:hAnsi="Times New Roman" w:cs="Times New Roman"/>
              </w:rPr>
              <w:t>(недвижимого имущества, входящего в состав объекта соглашения)</w:t>
            </w:r>
            <w:r w:rsidRPr="0070335E">
              <w:rPr>
                <w:rFonts w:ascii="Times New Roman" w:hAnsi="Times New Roman" w:cs="Times New Roman"/>
              </w:rPr>
              <w:t>в размере, составляющем 30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70335E">
              <w:rPr>
                <w:rFonts w:ascii="Times New Roman" w:hAnsi="Times New Roman" w:cs="Times New Roman"/>
              </w:rPr>
              <w:t>- предоставления</w:t>
            </w:r>
            <w:r w:rsidRPr="003F0169">
              <w:rPr>
                <w:rFonts w:ascii="Times New Roman" w:hAnsi="Times New Roman" w:cs="Times New Roman"/>
              </w:rPr>
              <w:t xml:space="preserve"> безотзывной банковской гарантии;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передачи концесси</w:t>
            </w:r>
            <w:r w:rsidR="0070335E">
              <w:rPr>
                <w:rFonts w:ascii="Times New Roman" w:hAnsi="Times New Roman" w:cs="Times New Roman"/>
              </w:rPr>
              <w:t>онером концеденту в залог прав  к</w:t>
            </w:r>
            <w:r w:rsidRPr="003F0169">
              <w:rPr>
                <w:rFonts w:ascii="Times New Roman" w:hAnsi="Times New Roman" w:cs="Times New Roman"/>
              </w:rPr>
              <w:t>онцессионера по договору банковского вклада (депозита).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 xml:space="preserve">Обеспечение предоставляется ежегодно на период </w:t>
            </w:r>
            <w:r w:rsidR="009D2898" w:rsidRPr="003F0169">
              <w:t>создания</w:t>
            </w:r>
            <w:r w:rsidR="001C0961">
              <w:t xml:space="preserve"> </w:t>
            </w:r>
            <w:r w:rsidR="0070335E">
              <w:t xml:space="preserve">и реконструкции </w:t>
            </w:r>
            <w:r w:rsidRPr="003F0169">
              <w:t>объ</w:t>
            </w:r>
            <w:r w:rsidR="0070335E">
              <w:t>екта</w:t>
            </w:r>
            <w:r w:rsidR="00935EBA">
              <w:t xml:space="preserve"> концессионного соглашения</w:t>
            </w:r>
            <w:r w:rsidR="0070335E">
              <w:t xml:space="preserve"> (недвижимого имущества, входящего в состав объекта соглашения)</w:t>
            </w:r>
          </w:p>
        </w:tc>
      </w:tr>
      <w:tr w:rsidR="00335548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6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>В случае досрочного расторжения концессионного соглашения концес</w:t>
            </w:r>
            <w:r w:rsidR="00242DAB">
              <w:t>сионер обязан возвратить объект</w:t>
            </w:r>
            <w:r w:rsidRPr="003F0169">
              <w:t xml:space="preserve"> концессионного соглашения</w:t>
            </w:r>
            <w:r w:rsidR="00242DAB">
              <w:t xml:space="preserve"> (недвижимое имущество, входящее в состав объекта соглашения)</w:t>
            </w:r>
            <w:r w:rsidRPr="003F0169">
              <w:t xml:space="preserve"> в пригодном для эксплуатации состоянии с  учетом  износа.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>В случае возникновения убытков, вызванных досрочным расторжением концессионного соглашения, размер и условия их компенсации определяются по соглашению сторон концессионного соглашения, а в сл</w:t>
            </w:r>
            <w:r w:rsidR="00F11643" w:rsidRPr="003F0169">
              <w:t xml:space="preserve">учае не достижения соглашения </w:t>
            </w:r>
            <w:r w:rsidR="00935EBA">
              <w:t>в судебном порядке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FC" w:rsidRDefault="001243FC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43FC" w:rsidRDefault="001243FC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DAB" w:rsidRDefault="00242DAB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43FC" w:rsidRDefault="001243FC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F1" w:rsidRDefault="00E709F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F1" w:rsidRDefault="00E709F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F1" w:rsidRDefault="00E709F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F1" w:rsidRDefault="00E709F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79E" w:rsidRDefault="0011179E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D9D" w:rsidRPr="00AE7DF9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682AD7" w:rsidRPr="000345B4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3FC" w:rsidRDefault="001243FC" w:rsidP="00682A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AD7" w:rsidRPr="00B5331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7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является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3E5E21" w:rsidRPr="00B53317">
        <w:rPr>
          <w:rFonts w:ascii="Times New Roman" w:hAnsi="Times New Roman" w:cs="Times New Roman"/>
          <w:sz w:val="24"/>
          <w:szCs w:val="24"/>
        </w:rPr>
        <w:t xml:space="preserve">технологически связанного между собой </w:t>
      </w:r>
      <w:r w:rsidR="004C7E37">
        <w:rPr>
          <w:rFonts w:ascii="Times New Roman" w:hAnsi="Times New Roman" w:cs="Times New Roman"/>
          <w:sz w:val="24"/>
          <w:szCs w:val="24"/>
        </w:rPr>
        <w:t>вновь создаваемое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4C7E37">
        <w:rPr>
          <w:rFonts w:ascii="Times New Roman" w:hAnsi="Times New Roman" w:cs="Times New Roman"/>
          <w:sz w:val="24"/>
          <w:szCs w:val="24"/>
        </w:rPr>
        <w:t>недвижимое</w:t>
      </w:r>
      <w:r w:rsidRPr="00B53317">
        <w:rPr>
          <w:rFonts w:ascii="Times New Roman" w:hAnsi="Times New Roman" w:cs="Times New Roman"/>
          <w:sz w:val="24"/>
          <w:szCs w:val="24"/>
        </w:rPr>
        <w:t xml:space="preserve"> имущество электросетевого комплекса муниципального образования «</w:t>
      </w:r>
      <w:r w:rsidR="007A3E3E">
        <w:rPr>
          <w:rFonts w:ascii="Times New Roman" w:hAnsi="Times New Roman" w:cs="Times New Roman"/>
          <w:sz w:val="24"/>
          <w:szCs w:val="24"/>
        </w:rPr>
        <w:t>Ягоднинский</w:t>
      </w:r>
      <w:r w:rsidRPr="00B5331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E5E2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B53317">
        <w:rPr>
          <w:rFonts w:ascii="Times New Roman" w:hAnsi="Times New Roman" w:cs="Times New Roman"/>
          <w:sz w:val="24"/>
          <w:szCs w:val="24"/>
        </w:rPr>
        <w:t xml:space="preserve">, предназначенное для </w:t>
      </w:r>
      <w:r w:rsidR="003E5E21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энергии.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43FC" w:rsidRDefault="001243FC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992"/>
        <w:gridCol w:w="1134"/>
        <w:gridCol w:w="1276"/>
        <w:gridCol w:w="2410"/>
        <w:gridCol w:w="1843"/>
      </w:tblGrid>
      <w:tr w:rsidR="007A3E3E" w:rsidRPr="007A3E3E" w:rsidTr="004A1B43">
        <w:trPr>
          <w:cantSplit/>
          <w:trHeight w:val="5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Наименование имущества, входящего в состав объекта Соглашения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3001B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01BE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Срок инвестиций и год ввода в эксплу-атацию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Сумма инвестиций в реконструкцию и создание объекта Соглашения,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 xml:space="preserve">руб. 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7A3E3E" w:rsidRPr="007A3E3E" w:rsidTr="004A1B43">
        <w:trPr>
          <w:cantSplit/>
          <w:trHeight w:val="57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  <w:i/>
              </w:rPr>
              <w:t>Создаваемое недвижимое имущество</w:t>
            </w:r>
          </w:p>
        </w:tc>
      </w:tr>
      <w:tr w:rsidR="007A3E3E" w:rsidRPr="007A3E3E" w:rsidTr="004A1B43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 (КТПН)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3001B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Мощность трансформатора определяется проектом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2 578 427,13</w:t>
            </w:r>
          </w:p>
        </w:tc>
      </w:tr>
      <w:tr w:rsidR="007A3E3E" w:rsidRPr="007A3E3E" w:rsidTr="004A1B43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 (КТПН)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Мощность трансформатора определяется проектом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2 578 427,13</w:t>
            </w:r>
          </w:p>
        </w:tc>
      </w:tr>
      <w:tr w:rsidR="007A3E3E" w:rsidRPr="007A3E3E" w:rsidTr="004A1B43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 (КТПН)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Мощность трансформатора определяется проектом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2 578 427,13</w:t>
            </w:r>
          </w:p>
        </w:tc>
      </w:tr>
      <w:tr w:rsidR="007A3E3E" w:rsidRPr="007A3E3E" w:rsidTr="004A1B43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lastRenderedPageBreak/>
              <w:t>Комплектная трансформаторная подстанция (КТПН)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Мощность трансформатора определяется проектом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2 578 427,13</w:t>
            </w:r>
          </w:p>
        </w:tc>
      </w:tr>
      <w:tr w:rsidR="007A3E3E" w:rsidRPr="007A3E3E" w:rsidTr="004A1B43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 (КТПН)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Мощность трансформатора определяется проектом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2 287 307,13</w:t>
            </w:r>
          </w:p>
        </w:tc>
      </w:tr>
      <w:tr w:rsidR="007A3E3E" w:rsidRPr="007A3E3E" w:rsidTr="004A1B43">
        <w:trPr>
          <w:cantSplit/>
          <w:trHeight w:val="42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E">
              <w:rPr>
                <w:rFonts w:ascii="Times New Roman" w:hAnsi="Times New Roman" w:cs="Times New Roman"/>
                <w:b/>
                <w:i/>
              </w:rPr>
              <w:t>Реконструируемое имущество</w:t>
            </w:r>
          </w:p>
        </w:tc>
      </w:tr>
      <w:tr w:rsidR="007A3E3E" w:rsidRPr="007A3E3E" w:rsidTr="004A1B43">
        <w:trPr>
          <w:cantSplit/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Трансформаторная подстанция </w:t>
            </w:r>
            <w:r w:rsidRPr="007A3E3E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 xml:space="preserve">Трансформаторная подстанция капитального типа, оборудована 2 трансформаторами </w:t>
            </w:r>
            <w:r w:rsidRPr="007A3E3E">
              <w:rPr>
                <w:rFonts w:ascii="Times New Roman" w:hAnsi="Times New Roman" w:cs="Times New Roman"/>
                <w:color w:val="000000"/>
              </w:rPr>
              <w:t>250 и 160 кВА</w:t>
            </w:r>
            <w:r w:rsidRPr="007A3E3E">
              <w:rPr>
                <w:rFonts w:ascii="Times New Roman" w:hAnsi="Times New Roman" w:cs="Times New Roman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E">
              <w:rPr>
                <w:rFonts w:ascii="Times New Roman" w:hAnsi="Times New Roman" w:cs="Times New Roman"/>
                <w:color w:val="000000"/>
              </w:rPr>
              <w:t>1 193 630,18</w:t>
            </w:r>
          </w:p>
        </w:tc>
      </w:tr>
      <w:tr w:rsidR="007A3E3E" w:rsidRPr="007A3E3E" w:rsidTr="004A1B43">
        <w:trPr>
          <w:cantSplit/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Трансформаторная подстанция №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 xml:space="preserve">Трансформаторная подстанция капитального типа, оборудована 2 трансформаторами </w:t>
            </w:r>
            <w:r w:rsidRPr="007A3E3E">
              <w:rPr>
                <w:rFonts w:ascii="Times New Roman" w:hAnsi="Times New Roman" w:cs="Times New Roman"/>
                <w:color w:val="000000"/>
              </w:rPr>
              <w:t>250 и 160 кВА</w:t>
            </w:r>
            <w:r w:rsidRPr="007A3E3E">
              <w:rPr>
                <w:rFonts w:ascii="Times New Roman" w:hAnsi="Times New Roman" w:cs="Times New Roman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1 193 630,18</w:t>
            </w:r>
          </w:p>
        </w:tc>
      </w:tr>
      <w:tr w:rsidR="007A3E3E" w:rsidRPr="007A3E3E" w:rsidTr="004A1B43">
        <w:trPr>
          <w:cantSplit/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Трансформаторная подстанция №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3001B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 xml:space="preserve">Трансформаторная подстанция капитального типа, оборудована 2 трансформаторами </w:t>
            </w:r>
            <w:r w:rsidRPr="007A3E3E">
              <w:rPr>
                <w:rFonts w:ascii="Times New Roman" w:hAnsi="Times New Roman" w:cs="Times New Roman"/>
                <w:color w:val="000000"/>
              </w:rPr>
              <w:t>250 и 160 кВА</w:t>
            </w:r>
            <w:r w:rsidRPr="007A3E3E">
              <w:rPr>
                <w:rFonts w:ascii="Times New Roman" w:hAnsi="Times New Roman" w:cs="Times New Roman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1 193 630,18</w:t>
            </w:r>
          </w:p>
        </w:tc>
      </w:tr>
      <w:tr w:rsidR="007A3E3E" w:rsidRPr="007A3E3E" w:rsidTr="004A1B43">
        <w:trPr>
          <w:cantSplit/>
          <w:trHeight w:val="550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E3E">
              <w:rPr>
                <w:b/>
                <w:color w:val="000000"/>
                <w:sz w:val="20"/>
                <w:szCs w:val="20"/>
              </w:rPr>
              <w:t>16 491 914,64</w:t>
            </w:r>
          </w:p>
        </w:tc>
      </w:tr>
    </w:tbl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79E" w:rsidRDefault="0011179E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0F6A" w:rsidRPr="00C80230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="00515646" w:rsidRPr="00C80230">
        <w:rPr>
          <w:rFonts w:ascii="Times New Roman" w:hAnsi="Times New Roman" w:cs="Times New Roman"/>
          <w:b/>
          <w:sz w:val="24"/>
          <w:szCs w:val="24"/>
        </w:rPr>
        <w:t>&lt;2</w:t>
      </w:r>
      <w:r w:rsidRPr="00C80230">
        <w:rPr>
          <w:rFonts w:ascii="Times New Roman" w:hAnsi="Times New Roman" w:cs="Times New Roman"/>
          <w:b/>
          <w:sz w:val="24"/>
          <w:szCs w:val="24"/>
        </w:rPr>
        <w:t>&gt;</w:t>
      </w:r>
    </w:p>
    <w:p w:rsidR="00515646" w:rsidRPr="00081D4D" w:rsidRDefault="00515646" w:rsidP="00FE0F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15646" w:rsidRDefault="00515646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27" w:tblpY="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5211"/>
        <w:gridCol w:w="1559"/>
      </w:tblGrid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№</w:t>
            </w:r>
          </w:p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Наименование имущества</w:t>
            </w:r>
          </w:p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(марка оборудования)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(год ввода, протяженность)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Балансовая стоимость имущества,</w:t>
            </w:r>
          </w:p>
          <w:p w:rsidR="007A3E3E" w:rsidRPr="007A3E3E" w:rsidRDefault="007A3E3E" w:rsidP="004A1B43">
            <w:pPr>
              <w:jc w:val="center"/>
              <w:rPr>
                <w:b/>
                <w:sz w:val="20"/>
                <w:szCs w:val="20"/>
              </w:rPr>
            </w:pPr>
            <w:r w:rsidRPr="007A3E3E">
              <w:rPr>
                <w:b/>
                <w:sz w:val="20"/>
                <w:szCs w:val="20"/>
              </w:rPr>
              <w:t>руб.</w:t>
            </w:r>
          </w:p>
        </w:tc>
      </w:tr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</w:t>
            </w:r>
            <w:r w:rsidRPr="007A3E3E"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Комплектная трансформаторная подстанция, оборудована 1 трансформатором марки ТМ  </w:t>
            </w:r>
            <w:r w:rsidRPr="007A3E3E">
              <w:rPr>
                <w:color w:val="000000"/>
                <w:sz w:val="20"/>
                <w:szCs w:val="20"/>
              </w:rPr>
              <w:t>400 кВА</w:t>
            </w:r>
            <w:r w:rsidRPr="007A3E3E">
              <w:rPr>
                <w:sz w:val="20"/>
                <w:szCs w:val="20"/>
              </w:rPr>
              <w:t xml:space="preserve">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9 759,70</w:t>
            </w:r>
          </w:p>
        </w:tc>
      </w:tr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</w:t>
            </w:r>
            <w:r w:rsidRPr="007A3E3E">
              <w:rPr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Комплектная трансформаторная подстанция, оборудована 1 трансформатором марки ТМ  </w:t>
            </w:r>
            <w:r w:rsidRPr="007A3E3E">
              <w:rPr>
                <w:color w:val="000000"/>
                <w:sz w:val="20"/>
                <w:szCs w:val="20"/>
              </w:rPr>
              <w:t>400 кВА</w:t>
            </w:r>
            <w:r w:rsidRPr="007A3E3E">
              <w:rPr>
                <w:sz w:val="20"/>
                <w:szCs w:val="20"/>
              </w:rPr>
              <w:t xml:space="preserve">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4 411,47</w:t>
            </w:r>
          </w:p>
        </w:tc>
      </w:tr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</w:t>
            </w:r>
            <w:r w:rsidRPr="007A3E3E">
              <w:rPr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Комплектная трансформаторная подстанция, оборудована 1 трансформатором марки ТМ  </w:t>
            </w:r>
            <w:r w:rsidRPr="007A3E3E">
              <w:rPr>
                <w:color w:val="000000"/>
                <w:sz w:val="20"/>
                <w:szCs w:val="20"/>
              </w:rPr>
              <w:t>400 кВА</w:t>
            </w:r>
            <w:r w:rsidRPr="007A3E3E">
              <w:rPr>
                <w:sz w:val="20"/>
                <w:szCs w:val="20"/>
              </w:rPr>
              <w:t xml:space="preserve">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4 411,47</w:t>
            </w:r>
          </w:p>
        </w:tc>
      </w:tr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</w:t>
            </w:r>
            <w:r w:rsidRPr="007A3E3E"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Комплектная трансформаторная подстанция, оборудована 1 трансформатором марки ТМ  </w:t>
            </w:r>
            <w:r w:rsidRPr="007A3E3E">
              <w:rPr>
                <w:color w:val="000000"/>
                <w:sz w:val="20"/>
                <w:szCs w:val="20"/>
              </w:rPr>
              <w:t>400 кВА</w:t>
            </w:r>
            <w:r w:rsidRPr="007A3E3E">
              <w:rPr>
                <w:sz w:val="20"/>
                <w:szCs w:val="20"/>
              </w:rPr>
              <w:t xml:space="preserve">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4 411,47</w:t>
            </w:r>
          </w:p>
        </w:tc>
      </w:tr>
      <w:tr w:rsidR="007A3E3E" w:rsidRPr="007A3E3E" w:rsidTr="004A1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Комплектная трансформаторная подстанция</w:t>
            </w:r>
            <w:r w:rsidRPr="007A3E3E">
              <w:rPr>
                <w:color w:val="000000"/>
                <w:sz w:val="20"/>
                <w:szCs w:val="20"/>
              </w:rPr>
              <w:t xml:space="preserve"> № 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 xml:space="preserve">Комплектная трансформаторная подстанция, оборудована 1 трансформатором марки ТМ  </w:t>
            </w:r>
            <w:r w:rsidRPr="007A3E3E">
              <w:rPr>
                <w:color w:val="000000"/>
                <w:sz w:val="20"/>
                <w:szCs w:val="20"/>
              </w:rPr>
              <w:t>250 кВА</w:t>
            </w:r>
            <w:r w:rsidRPr="007A3E3E">
              <w:rPr>
                <w:sz w:val="20"/>
                <w:szCs w:val="20"/>
              </w:rPr>
              <w:t xml:space="preserve">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4A1B43">
            <w:pPr>
              <w:jc w:val="center"/>
              <w:rPr>
                <w:color w:val="000000"/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4 411,47</w:t>
            </w:r>
          </w:p>
        </w:tc>
      </w:tr>
      <w:tr w:rsidR="00A4265E" w:rsidRPr="007A3E3E" w:rsidTr="00757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Возд.ЛЭПнизк.напр. 04 ква.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8,30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17 990,31</w:t>
            </w:r>
          </w:p>
        </w:tc>
      </w:tr>
      <w:tr w:rsidR="00A4265E" w:rsidRPr="007A3E3E" w:rsidTr="00757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Возд.ЛЭПнизк.напр. 6 ква.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sz w:val="20"/>
                <w:szCs w:val="20"/>
              </w:rPr>
              <w:t>2,25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5E" w:rsidRPr="007A3E3E" w:rsidRDefault="00A4265E" w:rsidP="00757797">
            <w:pPr>
              <w:jc w:val="center"/>
              <w:rPr>
                <w:sz w:val="20"/>
                <w:szCs w:val="20"/>
              </w:rPr>
            </w:pPr>
            <w:r w:rsidRPr="007A3E3E">
              <w:rPr>
                <w:color w:val="000000"/>
                <w:sz w:val="20"/>
                <w:szCs w:val="20"/>
              </w:rPr>
              <w:t>21 596,80</w:t>
            </w:r>
          </w:p>
        </w:tc>
      </w:tr>
    </w:tbl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79E" w:rsidRDefault="0011179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3001BE" w:rsidRPr="00A00736" w:rsidRDefault="003001BE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№ ______ 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от ______      ________201__ года</w:t>
            </w:r>
          </w:p>
          <w:p w:rsidR="003001BE" w:rsidRPr="00A00736" w:rsidRDefault="003001BE" w:rsidP="00B51866">
            <w:pPr>
              <w:rPr>
                <w:bCs/>
                <w:sz w:val="22"/>
                <w:szCs w:val="22"/>
              </w:rPr>
            </w:pP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90250" w:rsidRPr="00453378" w:rsidRDefault="00390250" w:rsidP="005E0AEE">
      <w:pPr>
        <w:jc w:val="center"/>
        <w:rPr>
          <w:b/>
          <w:color w:val="000000"/>
        </w:rPr>
      </w:pPr>
      <w:r w:rsidRPr="00453378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технологически связанного между собой вновь создаваемого недвижимого имущества электросетевого комплекса муниципального образования «</w:t>
      </w:r>
      <w:r w:rsidR="007A3E3E">
        <w:rPr>
          <w:b/>
        </w:rPr>
        <w:t>Ягоднинский</w:t>
      </w:r>
      <w:r w:rsidR="00BA5D5A">
        <w:rPr>
          <w:b/>
        </w:rPr>
        <w:t xml:space="preserve"> городской округ»</w:t>
      </w:r>
      <w:r w:rsidR="00453378" w:rsidRPr="00453378">
        <w:rPr>
          <w:b/>
        </w:rPr>
        <w:t>, предназначенного для передачи и распределения электрической энергии</w:t>
      </w:r>
      <w:r w:rsidR="00B32880" w:rsidRPr="00453378">
        <w:rPr>
          <w:b/>
        </w:rPr>
        <w:t xml:space="preserve">, </w:t>
      </w:r>
      <w:r w:rsidR="00453378" w:rsidRPr="00453378">
        <w:rPr>
          <w:b/>
        </w:rPr>
        <w:t xml:space="preserve">входящего в состав объекта концессионного соглашения, </w:t>
      </w:r>
      <w:r w:rsidRPr="00453378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 xml:space="preserve"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</w:t>
      </w:r>
      <w:r w:rsidRPr="005E0AEE">
        <w:lastRenderedPageBreak/>
        <w:t>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AE7DF9">
        <w:t xml:space="preserve">- </w:t>
      </w:r>
      <w:hyperlink r:id="rId11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073A33" w:rsidRPr="000E7EBC">
        <w:t>686230</w:t>
      </w:r>
      <w:r w:rsidR="00073A33">
        <w:t>,</w:t>
      </w:r>
      <w:r w:rsidR="00073A33" w:rsidRPr="000E7EBC">
        <w:t>пос.Ягодное Магаданской области, ул.Спортивная,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3001BE" w:rsidRPr="003001BE">
        <w:t>Комите</w:t>
      </w:r>
      <w:r w:rsidR="003001BE">
        <w:t>та по управлению муниципальным имуществом администрации Ягод</w:t>
      </w:r>
      <w:r w:rsidR="003001BE" w:rsidRPr="003001BE">
        <w:t>ни</w:t>
      </w:r>
      <w:r w:rsidR="003001BE">
        <w:t>нского</w:t>
      </w:r>
      <w:r w:rsidR="003001BE" w:rsidRPr="003001BE">
        <w:t xml:space="preserve"> округа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lastRenderedPageBreak/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1" w:name="_GoBack"/>
      <w:bookmarkEnd w:id="1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lastRenderedPageBreak/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DC" w:rsidRDefault="009A70DC" w:rsidP="00B4611F">
      <w:r>
        <w:separator/>
      </w:r>
    </w:p>
  </w:endnote>
  <w:endnote w:type="continuationSeparator" w:id="1">
    <w:p w:rsidR="009A70DC" w:rsidRDefault="009A70DC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DC" w:rsidRDefault="009A70DC" w:rsidP="00B4611F">
      <w:r>
        <w:separator/>
      </w:r>
    </w:p>
  </w:footnote>
  <w:footnote w:type="continuationSeparator" w:id="1">
    <w:p w:rsidR="009A70DC" w:rsidRDefault="009A70DC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3174F"/>
    <w:rsid w:val="000345B4"/>
    <w:rsid w:val="00056DFA"/>
    <w:rsid w:val="00073A33"/>
    <w:rsid w:val="00081D4D"/>
    <w:rsid w:val="000956C4"/>
    <w:rsid w:val="000A7ED9"/>
    <w:rsid w:val="000B2EDE"/>
    <w:rsid w:val="000B416B"/>
    <w:rsid w:val="000C2C6F"/>
    <w:rsid w:val="000D4964"/>
    <w:rsid w:val="0011179E"/>
    <w:rsid w:val="00115274"/>
    <w:rsid w:val="00116D9D"/>
    <w:rsid w:val="001243FC"/>
    <w:rsid w:val="0014620F"/>
    <w:rsid w:val="00160310"/>
    <w:rsid w:val="00174CD9"/>
    <w:rsid w:val="001763C4"/>
    <w:rsid w:val="001774A8"/>
    <w:rsid w:val="001975A5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63BD"/>
    <w:rsid w:val="0021756D"/>
    <w:rsid w:val="00234730"/>
    <w:rsid w:val="00235E95"/>
    <w:rsid w:val="002365C7"/>
    <w:rsid w:val="00240181"/>
    <w:rsid w:val="00242DAB"/>
    <w:rsid w:val="00250E7E"/>
    <w:rsid w:val="002675F2"/>
    <w:rsid w:val="00270AD9"/>
    <w:rsid w:val="002A092F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191D"/>
    <w:rsid w:val="00353916"/>
    <w:rsid w:val="00383062"/>
    <w:rsid w:val="00387243"/>
    <w:rsid w:val="00390250"/>
    <w:rsid w:val="00393B82"/>
    <w:rsid w:val="003B1B4F"/>
    <w:rsid w:val="003C48E2"/>
    <w:rsid w:val="003C52C6"/>
    <w:rsid w:val="003E5E21"/>
    <w:rsid w:val="003F0169"/>
    <w:rsid w:val="00403EEE"/>
    <w:rsid w:val="00415BEE"/>
    <w:rsid w:val="004417A3"/>
    <w:rsid w:val="00447DE8"/>
    <w:rsid w:val="00453378"/>
    <w:rsid w:val="00487E2D"/>
    <w:rsid w:val="004A76C0"/>
    <w:rsid w:val="004B48D5"/>
    <w:rsid w:val="004C7E37"/>
    <w:rsid w:val="004D300E"/>
    <w:rsid w:val="004D50CF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7A8A"/>
    <w:rsid w:val="0064302B"/>
    <w:rsid w:val="00661853"/>
    <w:rsid w:val="0067448C"/>
    <w:rsid w:val="00682AD7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43F09"/>
    <w:rsid w:val="008554EA"/>
    <w:rsid w:val="00871668"/>
    <w:rsid w:val="008B4854"/>
    <w:rsid w:val="008D6043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E7DF9"/>
    <w:rsid w:val="00B02E8C"/>
    <w:rsid w:val="00B079F8"/>
    <w:rsid w:val="00B32880"/>
    <w:rsid w:val="00B40F48"/>
    <w:rsid w:val="00B4611F"/>
    <w:rsid w:val="00B53317"/>
    <w:rsid w:val="00B61907"/>
    <w:rsid w:val="00BA3778"/>
    <w:rsid w:val="00BA5D5A"/>
    <w:rsid w:val="00BA7E77"/>
    <w:rsid w:val="00BC4C81"/>
    <w:rsid w:val="00BC6EAC"/>
    <w:rsid w:val="00BE1C94"/>
    <w:rsid w:val="00BF0ED1"/>
    <w:rsid w:val="00BF6391"/>
    <w:rsid w:val="00C00724"/>
    <w:rsid w:val="00C220F6"/>
    <w:rsid w:val="00C46FEF"/>
    <w:rsid w:val="00C75276"/>
    <w:rsid w:val="00C771E8"/>
    <w:rsid w:val="00C80230"/>
    <w:rsid w:val="00C85045"/>
    <w:rsid w:val="00CC5C55"/>
    <w:rsid w:val="00CE6DDB"/>
    <w:rsid w:val="00CF3621"/>
    <w:rsid w:val="00D202DA"/>
    <w:rsid w:val="00D54362"/>
    <w:rsid w:val="00D96956"/>
    <w:rsid w:val="00DB3169"/>
    <w:rsid w:val="00DB6EF1"/>
    <w:rsid w:val="00DD1F47"/>
    <w:rsid w:val="00DD515A"/>
    <w:rsid w:val="00DF0436"/>
    <w:rsid w:val="00DF7EDB"/>
    <w:rsid w:val="00E207A5"/>
    <w:rsid w:val="00E20A46"/>
    <w:rsid w:val="00E709F1"/>
    <w:rsid w:val="00EB6276"/>
    <w:rsid w:val="00EC3B2D"/>
    <w:rsid w:val="00EF0FBB"/>
    <w:rsid w:val="00F11643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3</cp:revision>
  <cp:lastPrinted>2017-01-09T09:15:00Z</cp:lastPrinted>
  <dcterms:created xsi:type="dcterms:W3CDTF">2017-01-10T23:54:00Z</dcterms:created>
  <dcterms:modified xsi:type="dcterms:W3CDTF">2017-01-12T00:12:00Z</dcterms:modified>
</cp:coreProperties>
</file>